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6C3C" w14:textId="390512CA" w:rsidR="00F10673" w:rsidRPr="00D96135" w:rsidRDefault="00D96135" w:rsidP="00F10673">
      <w:pPr>
        <w:spacing w:line="360" w:lineRule="auto"/>
        <w:jc w:val="center"/>
        <w:outlineLvl w:val="0"/>
        <w:rPr>
          <w:b/>
          <w:bCs/>
          <w:sz w:val="28"/>
          <w:szCs w:val="28"/>
          <w:lang w:val="en-CA"/>
        </w:rPr>
      </w:pPr>
      <w:bookmarkStart w:id="0" w:name="_Toc227618136"/>
      <w:r w:rsidRPr="00D96135">
        <w:rPr>
          <w:b/>
          <w:bCs/>
          <w:sz w:val="28"/>
          <w:szCs w:val="28"/>
          <w:lang w:val="en-CA"/>
        </w:rPr>
        <w:t>Investment Policy Statement</w:t>
      </w:r>
      <w:bookmarkEnd w:id="0"/>
    </w:p>
    <w:p w14:paraId="7247F85C" w14:textId="77777777" w:rsidR="00F10673" w:rsidRPr="00D96135" w:rsidRDefault="00F10673" w:rsidP="00F10673">
      <w:pPr>
        <w:spacing w:line="360" w:lineRule="auto"/>
        <w:jc w:val="center"/>
        <w:outlineLvl w:val="0"/>
        <w:rPr>
          <w:b/>
          <w:bCs/>
          <w:sz w:val="28"/>
          <w:szCs w:val="28"/>
          <w:lang w:val="en-CA"/>
        </w:rPr>
      </w:pPr>
    </w:p>
    <w:p w14:paraId="4E0FD4F6" w14:textId="77777777" w:rsidR="00F10673" w:rsidRPr="00D96135" w:rsidRDefault="00F10673" w:rsidP="00F10673">
      <w:pPr>
        <w:spacing w:line="360" w:lineRule="auto"/>
        <w:jc w:val="center"/>
        <w:outlineLvl w:val="0"/>
        <w:rPr>
          <w:b/>
          <w:bCs/>
          <w:sz w:val="28"/>
          <w:szCs w:val="28"/>
          <w:lang w:val="en-CA"/>
        </w:rPr>
      </w:pPr>
    </w:p>
    <w:p w14:paraId="5069BEA7" w14:textId="77777777" w:rsidR="00F10673" w:rsidRPr="00D96135" w:rsidRDefault="00F10673" w:rsidP="00F10673">
      <w:pPr>
        <w:spacing w:line="360" w:lineRule="auto"/>
        <w:jc w:val="center"/>
        <w:outlineLvl w:val="0"/>
        <w:rPr>
          <w:b/>
          <w:bCs/>
          <w:sz w:val="28"/>
          <w:szCs w:val="28"/>
          <w:lang w:val="en-CA"/>
        </w:rPr>
      </w:pPr>
    </w:p>
    <w:p w14:paraId="03C3EBFB" w14:textId="77777777" w:rsidR="00F10673" w:rsidRPr="00D96135" w:rsidRDefault="00F10673" w:rsidP="00F10673">
      <w:pPr>
        <w:spacing w:line="360" w:lineRule="auto"/>
        <w:jc w:val="center"/>
        <w:outlineLvl w:val="0"/>
        <w:rPr>
          <w:b/>
          <w:bCs/>
          <w:sz w:val="28"/>
          <w:szCs w:val="28"/>
          <w:lang w:val="en-CA"/>
        </w:rPr>
      </w:pPr>
    </w:p>
    <w:p w14:paraId="0E40B176" w14:textId="77777777" w:rsidR="00F10673" w:rsidRPr="00D96135" w:rsidRDefault="00F10673" w:rsidP="00F10673">
      <w:pPr>
        <w:spacing w:line="360" w:lineRule="auto"/>
        <w:jc w:val="center"/>
        <w:outlineLvl w:val="0"/>
        <w:rPr>
          <w:b/>
          <w:bCs/>
          <w:sz w:val="28"/>
          <w:szCs w:val="28"/>
          <w:lang w:val="en-CA"/>
        </w:rPr>
      </w:pPr>
    </w:p>
    <w:p w14:paraId="62E4B4F6" w14:textId="77777777" w:rsidR="00F10673" w:rsidRPr="00D96135" w:rsidRDefault="00F10673" w:rsidP="00F10673">
      <w:pPr>
        <w:spacing w:line="360" w:lineRule="auto"/>
        <w:jc w:val="center"/>
        <w:outlineLvl w:val="0"/>
        <w:rPr>
          <w:lang w:val="en-CA"/>
        </w:rPr>
      </w:pPr>
      <w:bookmarkStart w:id="1" w:name="_Toc227618137"/>
      <w:r w:rsidRPr="00D96135">
        <w:rPr>
          <w:lang w:val="en-CA"/>
        </w:rPr>
        <w:t>Presented to</w:t>
      </w:r>
      <w:bookmarkEnd w:id="1"/>
    </w:p>
    <w:p w14:paraId="7AFF2AF0" w14:textId="120D68DF" w:rsidR="00F10673" w:rsidRPr="00AF3D95" w:rsidRDefault="00D96135" w:rsidP="00F10673">
      <w:pPr>
        <w:spacing w:line="360" w:lineRule="auto"/>
        <w:jc w:val="center"/>
        <w:outlineLvl w:val="0"/>
        <w:rPr>
          <w:b/>
          <w:bCs/>
          <w:lang w:val="en-CA"/>
        </w:rPr>
      </w:pPr>
      <w:bookmarkStart w:id="2" w:name="_Toc227618138"/>
      <w:r w:rsidRPr="00AF3D95">
        <w:rPr>
          <w:lang w:val="en-CA"/>
        </w:rPr>
        <w:t>D</w:t>
      </w:r>
      <w:r w:rsidR="00F10673" w:rsidRPr="00AF3D95">
        <w:rPr>
          <w:lang w:val="en-CA"/>
        </w:rPr>
        <w:t xml:space="preserve">r. </w:t>
      </w:r>
      <w:r w:rsidRPr="00AF3D95">
        <w:rPr>
          <w:lang w:val="en-CA"/>
        </w:rPr>
        <w:t>Paul Ahn</w:t>
      </w:r>
      <w:bookmarkEnd w:id="2"/>
    </w:p>
    <w:p w14:paraId="2A1F36C5" w14:textId="77777777" w:rsidR="00F10673" w:rsidRPr="00AF3D95" w:rsidRDefault="00F10673" w:rsidP="00F10673">
      <w:pPr>
        <w:spacing w:line="360" w:lineRule="auto"/>
        <w:jc w:val="center"/>
        <w:outlineLvl w:val="0"/>
        <w:rPr>
          <w:b/>
          <w:bCs/>
          <w:sz w:val="28"/>
          <w:szCs w:val="28"/>
          <w:lang w:val="en-CA"/>
        </w:rPr>
      </w:pPr>
    </w:p>
    <w:p w14:paraId="0A84E788" w14:textId="77777777" w:rsidR="00F10673" w:rsidRPr="00AF3D95" w:rsidRDefault="00F10673" w:rsidP="00F10673">
      <w:pPr>
        <w:spacing w:line="360" w:lineRule="auto"/>
        <w:jc w:val="center"/>
        <w:outlineLvl w:val="0"/>
        <w:rPr>
          <w:b/>
          <w:bCs/>
          <w:sz w:val="28"/>
          <w:szCs w:val="28"/>
          <w:lang w:val="en-CA"/>
        </w:rPr>
      </w:pPr>
    </w:p>
    <w:p w14:paraId="27B2F638" w14:textId="77777777" w:rsidR="00F10673" w:rsidRPr="00AF3D95" w:rsidRDefault="00F10673" w:rsidP="00F10673">
      <w:pPr>
        <w:spacing w:line="360" w:lineRule="auto"/>
        <w:outlineLvl w:val="0"/>
        <w:rPr>
          <w:b/>
          <w:bCs/>
          <w:sz w:val="28"/>
          <w:szCs w:val="28"/>
          <w:lang w:val="en-CA"/>
        </w:rPr>
      </w:pPr>
    </w:p>
    <w:p w14:paraId="179C8376" w14:textId="77777777" w:rsidR="00F10673" w:rsidRPr="00AF3D95" w:rsidRDefault="00F10673" w:rsidP="00F10673">
      <w:pPr>
        <w:spacing w:line="360" w:lineRule="auto"/>
        <w:jc w:val="center"/>
        <w:outlineLvl w:val="0"/>
        <w:rPr>
          <w:lang w:val="en-CA"/>
        </w:rPr>
      </w:pPr>
    </w:p>
    <w:p w14:paraId="6A6BF36C" w14:textId="77777777" w:rsidR="00F10673" w:rsidRPr="00AF3D95" w:rsidRDefault="00F10673" w:rsidP="00F10673">
      <w:pPr>
        <w:spacing w:line="360" w:lineRule="auto"/>
        <w:jc w:val="center"/>
        <w:outlineLvl w:val="0"/>
        <w:rPr>
          <w:lang w:val="en-CA"/>
        </w:rPr>
      </w:pPr>
    </w:p>
    <w:p w14:paraId="4A6660DB" w14:textId="20F2C883" w:rsidR="00F10673" w:rsidRPr="00AF3D95" w:rsidRDefault="00D96135" w:rsidP="00F10673">
      <w:pPr>
        <w:spacing w:line="360" w:lineRule="auto"/>
        <w:jc w:val="center"/>
        <w:outlineLvl w:val="0"/>
        <w:rPr>
          <w:lang w:val="en-CA"/>
        </w:rPr>
      </w:pPr>
      <w:bookmarkStart w:id="3" w:name="_Toc227618139"/>
      <w:r w:rsidRPr="00AF3D95">
        <w:rPr>
          <w:lang w:val="en-CA"/>
        </w:rPr>
        <w:t>Portfolio Management</w:t>
      </w:r>
      <w:bookmarkEnd w:id="3"/>
    </w:p>
    <w:p w14:paraId="549E9D9B" w14:textId="1CF6B908" w:rsidR="00F10673" w:rsidRPr="00D96135" w:rsidRDefault="00D96135" w:rsidP="00F10673">
      <w:pPr>
        <w:spacing w:line="360" w:lineRule="auto"/>
        <w:jc w:val="center"/>
        <w:outlineLvl w:val="0"/>
        <w:rPr>
          <w:lang w:val="en-CA"/>
        </w:rPr>
      </w:pPr>
      <w:bookmarkStart w:id="4" w:name="_Toc227618140"/>
      <w:r w:rsidRPr="00D96135">
        <w:rPr>
          <w:lang w:val="en-CA"/>
        </w:rPr>
        <w:t>FIN</w:t>
      </w:r>
      <w:r w:rsidR="00F10673" w:rsidRPr="00D96135">
        <w:rPr>
          <w:lang w:val="en-CA"/>
        </w:rPr>
        <w:t>-</w:t>
      </w:r>
      <w:r w:rsidRPr="00D96135">
        <w:rPr>
          <w:lang w:val="en-CA"/>
        </w:rPr>
        <w:t>5745</w:t>
      </w:r>
      <w:bookmarkEnd w:id="4"/>
    </w:p>
    <w:p w14:paraId="64111A4C" w14:textId="77777777" w:rsidR="00F10673" w:rsidRPr="00D96135" w:rsidRDefault="00F10673" w:rsidP="00F10673">
      <w:pPr>
        <w:spacing w:line="360" w:lineRule="auto"/>
        <w:jc w:val="center"/>
        <w:rPr>
          <w:lang w:val="en-CA"/>
        </w:rPr>
      </w:pPr>
    </w:p>
    <w:p w14:paraId="7F2AD163" w14:textId="77777777" w:rsidR="00F10673" w:rsidRPr="00D96135" w:rsidRDefault="00F10673" w:rsidP="00F10673">
      <w:pPr>
        <w:spacing w:line="360" w:lineRule="auto"/>
        <w:jc w:val="center"/>
        <w:rPr>
          <w:lang w:val="en-CA"/>
        </w:rPr>
      </w:pPr>
    </w:p>
    <w:p w14:paraId="28AFC5DE" w14:textId="77777777" w:rsidR="00F10673" w:rsidRPr="00D96135" w:rsidRDefault="00F10673" w:rsidP="00F10673">
      <w:pPr>
        <w:spacing w:line="360" w:lineRule="auto"/>
        <w:jc w:val="center"/>
        <w:rPr>
          <w:lang w:val="en-CA"/>
        </w:rPr>
      </w:pPr>
    </w:p>
    <w:p w14:paraId="7A4695B5" w14:textId="77777777" w:rsidR="00F10673" w:rsidRPr="00D96135" w:rsidRDefault="00F10673" w:rsidP="00F10673">
      <w:pPr>
        <w:spacing w:line="360" w:lineRule="auto"/>
        <w:jc w:val="center"/>
        <w:rPr>
          <w:lang w:val="en-CA"/>
        </w:rPr>
      </w:pPr>
    </w:p>
    <w:p w14:paraId="00EA4C93" w14:textId="77777777" w:rsidR="00F10673" w:rsidRPr="00D96135" w:rsidRDefault="00F10673" w:rsidP="00F10673">
      <w:pPr>
        <w:spacing w:line="360" w:lineRule="auto"/>
        <w:rPr>
          <w:lang w:val="en-CA"/>
        </w:rPr>
      </w:pPr>
    </w:p>
    <w:p w14:paraId="378854A2" w14:textId="77777777" w:rsidR="00F10673" w:rsidRPr="00D96135" w:rsidRDefault="00F10673" w:rsidP="00F10673">
      <w:pPr>
        <w:spacing w:line="360" w:lineRule="auto"/>
        <w:jc w:val="center"/>
        <w:outlineLvl w:val="0"/>
        <w:rPr>
          <w:b/>
          <w:bCs/>
          <w:sz w:val="28"/>
          <w:szCs w:val="28"/>
          <w:lang w:val="en-CA"/>
        </w:rPr>
      </w:pPr>
      <w:bookmarkStart w:id="5" w:name="_Toc227618141"/>
      <w:r w:rsidRPr="00D96135">
        <w:rPr>
          <w:b/>
          <w:bCs/>
          <w:sz w:val="28"/>
          <w:szCs w:val="28"/>
          <w:lang w:val="en-CA"/>
        </w:rPr>
        <w:t>By</w:t>
      </w:r>
      <w:bookmarkEnd w:id="5"/>
    </w:p>
    <w:p w14:paraId="04238B4C" w14:textId="77777777" w:rsidR="00F10673" w:rsidRPr="00D96135" w:rsidRDefault="00F10673" w:rsidP="00F10673">
      <w:pPr>
        <w:spacing w:line="360" w:lineRule="auto"/>
        <w:jc w:val="center"/>
        <w:outlineLvl w:val="0"/>
        <w:rPr>
          <w:b/>
          <w:bCs/>
          <w:sz w:val="28"/>
          <w:szCs w:val="28"/>
          <w:lang w:val="en-CA"/>
        </w:rPr>
      </w:pPr>
      <w:bookmarkStart w:id="6" w:name="_Toc227618142"/>
      <w:r w:rsidRPr="00D96135">
        <w:rPr>
          <w:b/>
          <w:bCs/>
          <w:sz w:val="28"/>
          <w:szCs w:val="28"/>
          <w:lang w:val="en-CA"/>
        </w:rPr>
        <w:t>Alexandre Ly</w:t>
      </w:r>
      <w:bookmarkEnd w:id="6"/>
    </w:p>
    <w:p w14:paraId="62A38347" w14:textId="77777777" w:rsidR="00F10673" w:rsidRPr="00D96135" w:rsidRDefault="00F10673" w:rsidP="00F10673">
      <w:pPr>
        <w:spacing w:line="360" w:lineRule="auto"/>
        <w:jc w:val="center"/>
        <w:outlineLvl w:val="0"/>
        <w:rPr>
          <w:b/>
          <w:bCs/>
          <w:sz w:val="28"/>
          <w:szCs w:val="28"/>
          <w:lang w:val="en-CA"/>
        </w:rPr>
      </w:pPr>
      <w:bookmarkStart w:id="7" w:name="_Toc227618143"/>
      <w:r w:rsidRPr="00D96135">
        <w:rPr>
          <w:b/>
          <w:bCs/>
          <w:sz w:val="28"/>
          <w:szCs w:val="28"/>
          <w:lang w:val="en-CA"/>
        </w:rPr>
        <w:t>47053031</w:t>
      </w:r>
      <w:bookmarkEnd w:id="7"/>
    </w:p>
    <w:p w14:paraId="35F01C20" w14:textId="77777777" w:rsidR="00F10673" w:rsidRPr="00D96135" w:rsidRDefault="00F10673" w:rsidP="00F10673">
      <w:pPr>
        <w:spacing w:line="360" w:lineRule="auto"/>
        <w:outlineLvl w:val="0"/>
        <w:rPr>
          <w:lang w:val="en-CA"/>
        </w:rPr>
      </w:pPr>
    </w:p>
    <w:p w14:paraId="5773CF97" w14:textId="77777777" w:rsidR="00F10673" w:rsidRPr="00D96135" w:rsidRDefault="00F10673" w:rsidP="00F10673">
      <w:pPr>
        <w:spacing w:line="360" w:lineRule="auto"/>
        <w:outlineLvl w:val="0"/>
        <w:rPr>
          <w:lang w:val="en-CA"/>
        </w:rPr>
      </w:pPr>
    </w:p>
    <w:p w14:paraId="10EFB723" w14:textId="77777777" w:rsidR="00F7721A" w:rsidRPr="00D96135" w:rsidRDefault="00F7721A" w:rsidP="00F10673">
      <w:pPr>
        <w:spacing w:line="360" w:lineRule="auto"/>
        <w:outlineLvl w:val="0"/>
        <w:rPr>
          <w:lang w:val="en-CA"/>
        </w:rPr>
      </w:pPr>
    </w:p>
    <w:p w14:paraId="5751870A" w14:textId="77777777" w:rsidR="00F10673" w:rsidRPr="00D96135" w:rsidRDefault="00F10673" w:rsidP="00F10673">
      <w:pPr>
        <w:spacing w:line="360" w:lineRule="auto"/>
        <w:outlineLvl w:val="0"/>
        <w:rPr>
          <w:lang w:val="en-CA"/>
        </w:rPr>
      </w:pPr>
    </w:p>
    <w:p w14:paraId="6C83D8E8" w14:textId="2D77675D" w:rsidR="00D96135" w:rsidRDefault="00D96135" w:rsidP="00D96135">
      <w:pPr>
        <w:spacing w:line="360" w:lineRule="auto"/>
        <w:jc w:val="center"/>
        <w:outlineLvl w:val="0"/>
        <w:rPr>
          <w:lang w:val="en-CA"/>
        </w:rPr>
      </w:pPr>
      <w:bookmarkStart w:id="8" w:name="_Toc227618144"/>
      <w:r w:rsidRPr="00D96135">
        <w:rPr>
          <w:lang w:val="en-CA"/>
        </w:rPr>
        <w:t>04</w:t>
      </w:r>
      <w:r w:rsidR="00F10673" w:rsidRPr="00D96135">
        <w:rPr>
          <w:lang w:val="en-CA"/>
        </w:rPr>
        <w:t>/</w:t>
      </w:r>
      <w:r w:rsidRPr="00D96135">
        <w:rPr>
          <w:lang w:val="en-CA"/>
        </w:rPr>
        <w:t>2</w:t>
      </w:r>
      <w:r w:rsidR="00C72276">
        <w:rPr>
          <w:lang w:val="en-CA"/>
        </w:rPr>
        <w:t>0</w:t>
      </w:r>
      <w:r w:rsidR="00F10673" w:rsidRPr="00D96135">
        <w:rPr>
          <w:lang w:val="en-CA"/>
        </w:rPr>
        <w:t>/2</w:t>
      </w:r>
      <w:r w:rsidRPr="00D96135">
        <w:rPr>
          <w:lang w:val="en-CA"/>
        </w:rPr>
        <w:t>6</w:t>
      </w:r>
      <w:bookmarkEnd w:id="8"/>
    </w:p>
    <w:sdt>
      <w:sdtPr>
        <w:id w:val="2092193120"/>
        <w:docPartObj>
          <w:docPartGallery w:val="Table of Contents"/>
          <w:docPartUnique/>
        </w:docPartObj>
      </w:sdtPr>
      <w:sdtEndPr>
        <w:rPr>
          <w:rFonts w:ascii="Times New Roman" w:eastAsia="Cambria" w:hAnsi="Times New Roman" w:cs="Times New Roman"/>
          <w:noProof/>
          <w:color w:val="auto"/>
          <w:sz w:val="24"/>
          <w:szCs w:val="24"/>
          <w:lang w:val="fr-CA"/>
        </w:rPr>
      </w:sdtEndPr>
      <w:sdtContent>
        <w:p w14:paraId="3A9885F9" w14:textId="4716215E" w:rsidR="00175B2B" w:rsidRDefault="00175B2B" w:rsidP="00175B2B">
          <w:pPr>
            <w:pStyle w:val="TOCHeading"/>
          </w:pPr>
          <w:r>
            <w:t>Table of Contents</w:t>
          </w:r>
          <w:r>
            <w:rPr>
              <w:b w:val="0"/>
              <w:bCs w:val="0"/>
            </w:rPr>
            <w:fldChar w:fldCharType="begin"/>
          </w:r>
          <w:r>
            <w:instrText xml:space="preserve"> TOC \o "1-3" \h \z \u </w:instrText>
          </w:r>
          <w:r>
            <w:rPr>
              <w:b w:val="0"/>
              <w:bCs w:val="0"/>
            </w:rPr>
            <w:fldChar w:fldCharType="separate"/>
          </w:r>
        </w:p>
        <w:p w14:paraId="08587156" w14:textId="3B7CD7FF" w:rsidR="00175B2B" w:rsidRDefault="00175B2B">
          <w:pPr>
            <w:pStyle w:val="TOC1"/>
            <w:tabs>
              <w:tab w:val="right" w:leader="dot" w:pos="10790"/>
            </w:tabs>
            <w:rPr>
              <w:noProof/>
            </w:rPr>
          </w:pPr>
          <w:hyperlink w:anchor="_Toc227618145" w:history="1">
            <w:r w:rsidRPr="009258B5">
              <w:rPr>
                <w:rStyle w:val="Hyperlink"/>
                <w:noProof/>
              </w:rPr>
              <w:t>Section 1 – Scope and Purpose of IPS</w:t>
            </w:r>
            <w:r>
              <w:rPr>
                <w:noProof/>
                <w:webHidden/>
              </w:rPr>
              <w:tab/>
            </w:r>
            <w:r>
              <w:rPr>
                <w:noProof/>
                <w:webHidden/>
              </w:rPr>
              <w:fldChar w:fldCharType="begin"/>
            </w:r>
            <w:r>
              <w:rPr>
                <w:noProof/>
                <w:webHidden/>
              </w:rPr>
              <w:instrText xml:space="preserve"> PAGEREF _Toc227618145 \h </w:instrText>
            </w:r>
            <w:r>
              <w:rPr>
                <w:noProof/>
                <w:webHidden/>
              </w:rPr>
            </w:r>
            <w:r>
              <w:rPr>
                <w:noProof/>
                <w:webHidden/>
              </w:rPr>
              <w:fldChar w:fldCharType="separate"/>
            </w:r>
            <w:r>
              <w:rPr>
                <w:noProof/>
                <w:webHidden/>
              </w:rPr>
              <w:t>2</w:t>
            </w:r>
            <w:r>
              <w:rPr>
                <w:noProof/>
                <w:webHidden/>
              </w:rPr>
              <w:fldChar w:fldCharType="end"/>
            </w:r>
          </w:hyperlink>
        </w:p>
        <w:p w14:paraId="65737416" w14:textId="636597FC" w:rsidR="00175B2B" w:rsidRDefault="00175B2B">
          <w:pPr>
            <w:pStyle w:val="TOC3"/>
            <w:tabs>
              <w:tab w:val="left" w:pos="1200"/>
              <w:tab w:val="right" w:leader="dot" w:pos="10790"/>
            </w:tabs>
            <w:rPr>
              <w:noProof/>
            </w:rPr>
          </w:pPr>
          <w:hyperlink w:anchor="_Toc227618147" w:history="1">
            <w:r w:rsidRPr="009258B5">
              <w:rPr>
                <w:rStyle w:val="Hyperlink"/>
                <w:noProof/>
              </w:rPr>
              <w:t>1.1</w:t>
            </w:r>
            <w:r>
              <w:rPr>
                <w:noProof/>
              </w:rPr>
              <w:tab/>
            </w:r>
            <w:r w:rsidRPr="009258B5">
              <w:rPr>
                <w:rStyle w:val="Hyperlink"/>
                <w:noProof/>
              </w:rPr>
              <w:t>Objectives of this Document</w:t>
            </w:r>
            <w:r>
              <w:rPr>
                <w:noProof/>
                <w:webHidden/>
              </w:rPr>
              <w:tab/>
            </w:r>
            <w:r>
              <w:rPr>
                <w:noProof/>
                <w:webHidden/>
              </w:rPr>
              <w:fldChar w:fldCharType="begin"/>
            </w:r>
            <w:r>
              <w:rPr>
                <w:noProof/>
                <w:webHidden/>
              </w:rPr>
              <w:instrText xml:space="preserve"> PAGEREF _Toc227618147 \h </w:instrText>
            </w:r>
            <w:r>
              <w:rPr>
                <w:noProof/>
                <w:webHidden/>
              </w:rPr>
            </w:r>
            <w:r>
              <w:rPr>
                <w:noProof/>
                <w:webHidden/>
              </w:rPr>
              <w:fldChar w:fldCharType="separate"/>
            </w:r>
            <w:r>
              <w:rPr>
                <w:noProof/>
                <w:webHidden/>
              </w:rPr>
              <w:t>2</w:t>
            </w:r>
            <w:r>
              <w:rPr>
                <w:noProof/>
                <w:webHidden/>
              </w:rPr>
              <w:fldChar w:fldCharType="end"/>
            </w:r>
          </w:hyperlink>
        </w:p>
        <w:p w14:paraId="1939591F" w14:textId="38696D54" w:rsidR="00175B2B" w:rsidRDefault="00175B2B">
          <w:pPr>
            <w:pStyle w:val="TOC3"/>
            <w:tabs>
              <w:tab w:val="left" w:pos="1200"/>
              <w:tab w:val="right" w:leader="dot" w:pos="10790"/>
            </w:tabs>
            <w:rPr>
              <w:noProof/>
            </w:rPr>
          </w:pPr>
          <w:hyperlink w:anchor="_Toc227618148" w:history="1">
            <w:r w:rsidRPr="009258B5">
              <w:rPr>
                <w:rStyle w:val="Hyperlink"/>
                <w:noProof/>
              </w:rPr>
              <w:t>1.2</w:t>
            </w:r>
            <w:r>
              <w:rPr>
                <w:noProof/>
              </w:rPr>
              <w:tab/>
            </w:r>
            <w:r w:rsidRPr="009258B5">
              <w:rPr>
                <w:rStyle w:val="Hyperlink"/>
                <w:noProof/>
              </w:rPr>
              <w:t>Document Governance</w:t>
            </w:r>
            <w:r>
              <w:rPr>
                <w:noProof/>
                <w:webHidden/>
              </w:rPr>
              <w:tab/>
            </w:r>
            <w:r>
              <w:rPr>
                <w:noProof/>
                <w:webHidden/>
              </w:rPr>
              <w:fldChar w:fldCharType="begin"/>
            </w:r>
            <w:r>
              <w:rPr>
                <w:noProof/>
                <w:webHidden/>
              </w:rPr>
              <w:instrText xml:space="preserve"> PAGEREF _Toc227618148 \h </w:instrText>
            </w:r>
            <w:r>
              <w:rPr>
                <w:noProof/>
                <w:webHidden/>
              </w:rPr>
            </w:r>
            <w:r>
              <w:rPr>
                <w:noProof/>
                <w:webHidden/>
              </w:rPr>
              <w:fldChar w:fldCharType="separate"/>
            </w:r>
            <w:r>
              <w:rPr>
                <w:noProof/>
                <w:webHidden/>
              </w:rPr>
              <w:t>2</w:t>
            </w:r>
            <w:r>
              <w:rPr>
                <w:noProof/>
                <w:webHidden/>
              </w:rPr>
              <w:fldChar w:fldCharType="end"/>
            </w:r>
          </w:hyperlink>
        </w:p>
        <w:p w14:paraId="481CA7AB" w14:textId="2E5FCC69" w:rsidR="00175B2B" w:rsidRDefault="00175B2B">
          <w:pPr>
            <w:pStyle w:val="TOC1"/>
            <w:tabs>
              <w:tab w:val="right" w:leader="dot" w:pos="10790"/>
            </w:tabs>
            <w:rPr>
              <w:noProof/>
            </w:rPr>
          </w:pPr>
          <w:hyperlink w:anchor="_Toc227618149" w:history="1">
            <w:r w:rsidRPr="009258B5">
              <w:rPr>
                <w:rStyle w:val="Hyperlink"/>
                <w:noProof/>
              </w:rPr>
              <w:t>Section 2 – Governing Roles and Responsibilities</w:t>
            </w:r>
            <w:r>
              <w:rPr>
                <w:noProof/>
                <w:webHidden/>
              </w:rPr>
              <w:tab/>
            </w:r>
            <w:r>
              <w:rPr>
                <w:noProof/>
                <w:webHidden/>
              </w:rPr>
              <w:fldChar w:fldCharType="begin"/>
            </w:r>
            <w:r>
              <w:rPr>
                <w:noProof/>
                <w:webHidden/>
              </w:rPr>
              <w:instrText xml:space="preserve"> PAGEREF _Toc227618149 \h </w:instrText>
            </w:r>
            <w:r>
              <w:rPr>
                <w:noProof/>
                <w:webHidden/>
              </w:rPr>
            </w:r>
            <w:r>
              <w:rPr>
                <w:noProof/>
                <w:webHidden/>
              </w:rPr>
              <w:fldChar w:fldCharType="separate"/>
            </w:r>
            <w:r>
              <w:rPr>
                <w:noProof/>
                <w:webHidden/>
              </w:rPr>
              <w:t>2</w:t>
            </w:r>
            <w:r>
              <w:rPr>
                <w:noProof/>
                <w:webHidden/>
              </w:rPr>
              <w:fldChar w:fldCharType="end"/>
            </w:r>
          </w:hyperlink>
        </w:p>
        <w:p w14:paraId="0D58FE21" w14:textId="08465D9E" w:rsidR="00175B2B" w:rsidRDefault="00175B2B">
          <w:pPr>
            <w:pStyle w:val="TOC3"/>
            <w:tabs>
              <w:tab w:val="right" w:leader="dot" w:pos="10790"/>
            </w:tabs>
            <w:rPr>
              <w:noProof/>
            </w:rPr>
          </w:pPr>
          <w:hyperlink w:anchor="_Toc227618151" w:history="1">
            <w:r w:rsidRPr="009258B5">
              <w:rPr>
                <w:rStyle w:val="Hyperlink"/>
                <w:noProof/>
              </w:rPr>
              <w:t>2.1 Investment Team under Dr. Paul Ahn</w:t>
            </w:r>
            <w:r>
              <w:rPr>
                <w:noProof/>
                <w:webHidden/>
              </w:rPr>
              <w:tab/>
            </w:r>
            <w:r>
              <w:rPr>
                <w:noProof/>
                <w:webHidden/>
              </w:rPr>
              <w:fldChar w:fldCharType="begin"/>
            </w:r>
            <w:r>
              <w:rPr>
                <w:noProof/>
                <w:webHidden/>
              </w:rPr>
              <w:instrText xml:space="preserve"> PAGEREF _Toc227618151 \h </w:instrText>
            </w:r>
            <w:r>
              <w:rPr>
                <w:noProof/>
                <w:webHidden/>
              </w:rPr>
            </w:r>
            <w:r>
              <w:rPr>
                <w:noProof/>
                <w:webHidden/>
              </w:rPr>
              <w:fldChar w:fldCharType="separate"/>
            </w:r>
            <w:r>
              <w:rPr>
                <w:noProof/>
                <w:webHidden/>
              </w:rPr>
              <w:t>2</w:t>
            </w:r>
            <w:r>
              <w:rPr>
                <w:noProof/>
                <w:webHidden/>
              </w:rPr>
              <w:fldChar w:fldCharType="end"/>
            </w:r>
          </w:hyperlink>
        </w:p>
        <w:p w14:paraId="2A19E7DE" w14:textId="33C699F4" w:rsidR="00175B2B" w:rsidRDefault="00175B2B">
          <w:pPr>
            <w:pStyle w:val="TOC3"/>
            <w:tabs>
              <w:tab w:val="right" w:leader="dot" w:pos="10790"/>
            </w:tabs>
            <w:rPr>
              <w:noProof/>
            </w:rPr>
          </w:pPr>
          <w:hyperlink w:anchor="_Toc227618152" w:history="1">
            <w:r w:rsidRPr="009258B5">
              <w:rPr>
                <w:rStyle w:val="Hyperlink"/>
                <w:noProof/>
              </w:rPr>
              <w:t>2.2 Decision-Making Authority</w:t>
            </w:r>
            <w:r>
              <w:rPr>
                <w:noProof/>
                <w:webHidden/>
              </w:rPr>
              <w:tab/>
            </w:r>
            <w:r>
              <w:rPr>
                <w:noProof/>
                <w:webHidden/>
              </w:rPr>
              <w:fldChar w:fldCharType="begin"/>
            </w:r>
            <w:r>
              <w:rPr>
                <w:noProof/>
                <w:webHidden/>
              </w:rPr>
              <w:instrText xml:space="preserve"> PAGEREF _Toc227618152 \h </w:instrText>
            </w:r>
            <w:r>
              <w:rPr>
                <w:noProof/>
                <w:webHidden/>
              </w:rPr>
            </w:r>
            <w:r>
              <w:rPr>
                <w:noProof/>
                <w:webHidden/>
              </w:rPr>
              <w:fldChar w:fldCharType="separate"/>
            </w:r>
            <w:r>
              <w:rPr>
                <w:noProof/>
                <w:webHidden/>
              </w:rPr>
              <w:t>3</w:t>
            </w:r>
            <w:r>
              <w:rPr>
                <w:noProof/>
                <w:webHidden/>
              </w:rPr>
              <w:fldChar w:fldCharType="end"/>
            </w:r>
          </w:hyperlink>
        </w:p>
        <w:p w14:paraId="3EE10C1C" w14:textId="3A8D3314" w:rsidR="00175B2B" w:rsidRDefault="00175B2B">
          <w:pPr>
            <w:pStyle w:val="TOC3"/>
            <w:tabs>
              <w:tab w:val="right" w:leader="dot" w:pos="10790"/>
            </w:tabs>
            <w:rPr>
              <w:noProof/>
            </w:rPr>
          </w:pPr>
          <w:hyperlink w:anchor="_Toc227618153" w:history="1">
            <w:r w:rsidRPr="009258B5">
              <w:rPr>
                <w:rStyle w:val="Hyperlink"/>
                <w:noProof/>
              </w:rPr>
              <w:t>2.3 Client Responsibilities</w:t>
            </w:r>
            <w:r>
              <w:rPr>
                <w:noProof/>
                <w:webHidden/>
              </w:rPr>
              <w:tab/>
            </w:r>
            <w:r>
              <w:rPr>
                <w:noProof/>
                <w:webHidden/>
              </w:rPr>
              <w:fldChar w:fldCharType="begin"/>
            </w:r>
            <w:r>
              <w:rPr>
                <w:noProof/>
                <w:webHidden/>
              </w:rPr>
              <w:instrText xml:space="preserve"> PAGEREF _Toc227618153 \h </w:instrText>
            </w:r>
            <w:r>
              <w:rPr>
                <w:noProof/>
                <w:webHidden/>
              </w:rPr>
            </w:r>
            <w:r>
              <w:rPr>
                <w:noProof/>
                <w:webHidden/>
              </w:rPr>
              <w:fldChar w:fldCharType="separate"/>
            </w:r>
            <w:r>
              <w:rPr>
                <w:noProof/>
                <w:webHidden/>
              </w:rPr>
              <w:t>3</w:t>
            </w:r>
            <w:r>
              <w:rPr>
                <w:noProof/>
                <w:webHidden/>
              </w:rPr>
              <w:fldChar w:fldCharType="end"/>
            </w:r>
          </w:hyperlink>
        </w:p>
        <w:p w14:paraId="5A9A6D8E" w14:textId="0C67B62F" w:rsidR="00175B2B" w:rsidRDefault="00175B2B">
          <w:pPr>
            <w:pStyle w:val="TOC1"/>
            <w:tabs>
              <w:tab w:val="right" w:leader="dot" w:pos="10790"/>
            </w:tabs>
            <w:rPr>
              <w:noProof/>
            </w:rPr>
          </w:pPr>
          <w:hyperlink w:anchor="_Toc227618154" w:history="1">
            <w:r w:rsidRPr="009258B5">
              <w:rPr>
                <w:rStyle w:val="Hyperlink"/>
                <w:noProof/>
              </w:rPr>
              <w:t>Section 3 – Investment, Return, and Risk Objectives</w:t>
            </w:r>
            <w:r>
              <w:rPr>
                <w:noProof/>
                <w:webHidden/>
              </w:rPr>
              <w:tab/>
            </w:r>
            <w:r>
              <w:rPr>
                <w:noProof/>
                <w:webHidden/>
              </w:rPr>
              <w:fldChar w:fldCharType="begin"/>
            </w:r>
            <w:r>
              <w:rPr>
                <w:noProof/>
                <w:webHidden/>
              </w:rPr>
              <w:instrText xml:space="preserve"> PAGEREF _Toc227618154 \h </w:instrText>
            </w:r>
            <w:r>
              <w:rPr>
                <w:noProof/>
                <w:webHidden/>
              </w:rPr>
            </w:r>
            <w:r>
              <w:rPr>
                <w:noProof/>
                <w:webHidden/>
              </w:rPr>
              <w:fldChar w:fldCharType="separate"/>
            </w:r>
            <w:r>
              <w:rPr>
                <w:noProof/>
                <w:webHidden/>
              </w:rPr>
              <w:t>3</w:t>
            </w:r>
            <w:r>
              <w:rPr>
                <w:noProof/>
                <w:webHidden/>
              </w:rPr>
              <w:fldChar w:fldCharType="end"/>
            </w:r>
          </w:hyperlink>
        </w:p>
        <w:p w14:paraId="01720A24" w14:textId="65BFEDCC" w:rsidR="00175B2B" w:rsidRDefault="00175B2B">
          <w:pPr>
            <w:pStyle w:val="TOC3"/>
            <w:tabs>
              <w:tab w:val="right" w:leader="dot" w:pos="10790"/>
            </w:tabs>
            <w:rPr>
              <w:noProof/>
            </w:rPr>
          </w:pPr>
          <w:hyperlink w:anchor="_Toc227618156" w:history="1">
            <w:r w:rsidRPr="009258B5">
              <w:rPr>
                <w:rStyle w:val="Hyperlink"/>
                <w:noProof/>
              </w:rPr>
              <w:t>3.1 Client Financial Profile</w:t>
            </w:r>
            <w:r>
              <w:rPr>
                <w:noProof/>
                <w:webHidden/>
              </w:rPr>
              <w:tab/>
            </w:r>
            <w:r>
              <w:rPr>
                <w:noProof/>
                <w:webHidden/>
              </w:rPr>
              <w:fldChar w:fldCharType="begin"/>
            </w:r>
            <w:r>
              <w:rPr>
                <w:noProof/>
                <w:webHidden/>
              </w:rPr>
              <w:instrText xml:space="preserve"> PAGEREF _Toc227618156 \h </w:instrText>
            </w:r>
            <w:r>
              <w:rPr>
                <w:noProof/>
                <w:webHidden/>
              </w:rPr>
            </w:r>
            <w:r>
              <w:rPr>
                <w:noProof/>
                <w:webHidden/>
              </w:rPr>
              <w:fldChar w:fldCharType="separate"/>
            </w:r>
            <w:r>
              <w:rPr>
                <w:noProof/>
                <w:webHidden/>
              </w:rPr>
              <w:t>3</w:t>
            </w:r>
            <w:r>
              <w:rPr>
                <w:noProof/>
                <w:webHidden/>
              </w:rPr>
              <w:fldChar w:fldCharType="end"/>
            </w:r>
          </w:hyperlink>
        </w:p>
        <w:p w14:paraId="0EFBCABE" w14:textId="570CD2B8" w:rsidR="00175B2B" w:rsidRDefault="00175B2B">
          <w:pPr>
            <w:pStyle w:val="TOC3"/>
            <w:tabs>
              <w:tab w:val="right" w:leader="dot" w:pos="10790"/>
            </w:tabs>
            <w:rPr>
              <w:noProof/>
            </w:rPr>
          </w:pPr>
          <w:hyperlink w:anchor="_Toc227618157" w:history="1">
            <w:r w:rsidRPr="009258B5">
              <w:rPr>
                <w:rStyle w:val="Hyperlink"/>
                <w:noProof/>
              </w:rPr>
              <w:t>3.2 Return Objectives</w:t>
            </w:r>
            <w:r>
              <w:rPr>
                <w:noProof/>
                <w:webHidden/>
              </w:rPr>
              <w:tab/>
            </w:r>
            <w:r>
              <w:rPr>
                <w:noProof/>
                <w:webHidden/>
              </w:rPr>
              <w:fldChar w:fldCharType="begin"/>
            </w:r>
            <w:r>
              <w:rPr>
                <w:noProof/>
                <w:webHidden/>
              </w:rPr>
              <w:instrText xml:space="preserve"> PAGEREF _Toc227618157 \h </w:instrText>
            </w:r>
            <w:r>
              <w:rPr>
                <w:noProof/>
                <w:webHidden/>
              </w:rPr>
            </w:r>
            <w:r>
              <w:rPr>
                <w:noProof/>
                <w:webHidden/>
              </w:rPr>
              <w:fldChar w:fldCharType="separate"/>
            </w:r>
            <w:r>
              <w:rPr>
                <w:noProof/>
                <w:webHidden/>
              </w:rPr>
              <w:t>4</w:t>
            </w:r>
            <w:r>
              <w:rPr>
                <w:noProof/>
                <w:webHidden/>
              </w:rPr>
              <w:fldChar w:fldCharType="end"/>
            </w:r>
          </w:hyperlink>
        </w:p>
        <w:p w14:paraId="6C9D8F52" w14:textId="7B0F7A2B" w:rsidR="00175B2B" w:rsidRDefault="00175B2B">
          <w:pPr>
            <w:pStyle w:val="TOC3"/>
            <w:tabs>
              <w:tab w:val="right" w:leader="dot" w:pos="10790"/>
            </w:tabs>
            <w:rPr>
              <w:noProof/>
            </w:rPr>
          </w:pPr>
          <w:hyperlink w:anchor="_Toc227618158" w:history="1">
            <w:r w:rsidRPr="009258B5">
              <w:rPr>
                <w:rStyle w:val="Hyperlink"/>
                <w:noProof/>
              </w:rPr>
              <w:t>3.3 Risk Tolerance Analysis</w:t>
            </w:r>
            <w:r>
              <w:rPr>
                <w:noProof/>
                <w:webHidden/>
              </w:rPr>
              <w:tab/>
            </w:r>
            <w:r>
              <w:rPr>
                <w:noProof/>
                <w:webHidden/>
              </w:rPr>
              <w:fldChar w:fldCharType="begin"/>
            </w:r>
            <w:r>
              <w:rPr>
                <w:noProof/>
                <w:webHidden/>
              </w:rPr>
              <w:instrText xml:space="preserve"> PAGEREF _Toc227618158 \h </w:instrText>
            </w:r>
            <w:r>
              <w:rPr>
                <w:noProof/>
                <w:webHidden/>
              </w:rPr>
            </w:r>
            <w:r>
              <w:rPr>
                <w:noProof/>
                <w:webHidden/>
              </w:rPr>
              <w:fldChar w:fldCharType="separate"/>
            </w:r>
            <w:r>
              <w:rPr>
                <w:noProof/>
                <w:webHidden/>
              </w:rPr>
              <w:t>4</w:t>
            </w:r>
            <w:r>
              <w:rPr>
                <w:noProof/>
                <w:webHidden/>
              </w:rPr>
              <w:fldChar w:fldCharType="end"/>
            </w:r>
          </w:hyperlink>
        </w:p>
        <w:p w14:paraId="7390403F" w14:textId="65948EE6" w:rsidR="00175B2B" w:rsidRDefault="00175B2B">
          <w:pPr>
            <w:pStyle w:val="TOC3"/>
            <w:tabs>
              <w:tab w:val="right" w:leader="dot" w:pos="10790"/>
            </w:tabs>
            <w:rPr>
              <w:noProof/>
            </w:rPr>
          </w:pPr>
          <w:hyperlink w:anchor="_Toc227618159" w:history="1">
            <w:r w:rsidRPr="009258B5">
              <w:rPr>
                <w:rStyle w:val="Hyperlink"/>
                <w:noProof/>
              </w:rPr>
              <w:t>3.4 Investor Profiling Frameworks</w:t>
            </w:r>
            <w:r>
              <w:rPr>
                <w:noProof/>
                <w:webHidden/>
              </w:rPr>
              <w:tab/>
            </w:r>
            <w:r>
              <w:rPr>
                <w:noProof/>
                <w:webHidden/>
              </w:rPr>
              <w:fldChar w:fldCharType="begin"/>
            </w:r>
            <w:r>
              <w:rPr>
                <w:noProof/>
                <w:webHidden/>
              </w:rPr>
              <w:instrText xml:space="preserve"> PAGEREF _Toc227618159 \h </w:instrText>
            </w:r>
            <w:r>
              <w:rPr>
                <w:noProof/>
                <w:webHidden/>
              </w:rPr>
            </w:r>
            <w:r>
              <w:rPr>
                <w:noProof/>
                <w:webHidden/>
              </w:rPr>
              <w:fldChar w:fldCharType="separate"/>
            </w:r>
            <w:r>
              <w:rPr>
                <w:noProof/>
                <w:webHidden/>
              </w:rPr>
              <w:t>5</w:t>
            </w:r>
            <w:r>
              <w:rPr>
                <w:noProof/>
                <w:webHidden/>
              </w:rPr>
              <w:fldChar w:fldCharType="end"/>
            </w:r>
          </w:hyperlink>
        </w:p>
        <w:p w14:paraId="7FFDB847" w14:textId="641924D9" w:rsidR="00175B2B" w:rsidRDefault="00175B2B">
          <w:pPr>
            <w:pStyle w:val="TOC3"/>
            <w:tabs>
              <w:tab w:val="right" w:leader="dot" w:pos="10790"/>
            </w:tabs>
            <w:rPr>
              <w:noProof/>
            </w:rPr>
          </w:pPr>
          <w:hyperlink w:anchor="_Toc227618160" w:history="1">
            <w:r w:rsidRPr="009258B5">
              <w:rPr>
                <w:rStyle w:val="Hyperlink"/>
                <w:noProof/>
              </w:rPr>
              <w:t>3.5 Investment Constraints Summary</w:t>
            </w:r>
            <w:r>
              <w:rPr>
                <w:noProof/>
                <w:webHidden/>
              </w:rPr>
              <w:tab/>
            </w:r>
            <w:r>
              <w:rPr>
                <w:noProof/>
                <w:webHidden/>
              </w:rPr>
              <w:fldChar w:fldCharType="begin"/>
            </w:r>
            <w:r>
              <w:rPr>
                <w:noProof/>
                <w:webHidden/>
              </w:rPr>
              <w:instrText xml:space="preserve"> PAGEREF _Toc227618160 \h </w:instrText>
            </w:r>
            <w:r>
              <w:rPr>
                <w:noProof/>
                <w:webHidden/>
              </w:rPr>
            </w:r>
            <w:r>
              <w:rPr>
                <w:noProof/>
                <w:webHidden/>
              </w:rPr>
              <w:fldChar w:fldCharType="separate"/>
            </w:r>
            <w:r>
              <w:rPr>
                <w:noProof/>
                <w:webHidden/>
              </w:rPr>
              <w:t>6</w:t>
            </w:r>
            <w:r>
              <w:rPr>
                <w:noProof/>
                <w:webHidden/>
              </w:rPr>
              <w:fldChar w:fldCharType="end"/>
            </w:r>
          </w:hyperlink>
        </w:p>
        <w:p w14:paraId="439384B0" w14:textId="3F75E224" w:rsidR="00175B2B" w:rsidRDefault="00175B2B">
          <w:pPr>
            <w:pStyle w:val="TOC1"/>
            <w:tabs>
              <w:tab w:val="right" w:leader="dot" w:pos="10790"/>
            </w:tabs>
            <w:rPr>
              <w:noProof/>
            </w:rPr>
          </w:pPr>
          <w:hyperlink w:anchor="_Toc227618161" w:history="1">
            <w:r w:rsidRPr="009258B5">
              <w:rPr>
                <w:rStyle w:val="Hyperlink"/>
                <w:noProof/>
              </w:rPr>
              <w:t>Section 4 – The ACWI Investment Strategy: AI-Energy Nexus</w:t>
            </w:r>
            <w:r>
              <w:rPr>
                <w:noProof/>
                <w:webHidden/>
              </w:rPr>
              <w:tab/>
            </w:r>
            <w:r>
              <w:rPr>
                <w:noProof/>
                <w:webHidden/>
              </w:rPr>
              <w:fldChar w:fldCharType="begin"/>
            </w:r>
            <w:r>
              <w:rPr>
                <w:noProof/>
                <w:webHidden/>
              </w:rPr>
              <w:instrText xml:space="preserve"> PAGEREF _Toc227618161 \h </w:instrText>
            </w:r>
            <w:r>
              <w:rPr>
                <w:noProof/>
                <w:webHidden/>
              </w:rPr>
            </w:r>
            <w:r>
              <w:rPr>
                <w:noProof/>
                <w:webHidden/>
              </w:rPr>
              <w:fldChar w:fldCharType="separate"/>
            </w:r>
            <w:r>
              <w:rPr>
                <w:noProof/>
                <w:webHidden/>
              </w:rPr>
              <w:t>6</w:t>
            </w:r>
            <w:r>
              <w:rPr>
                <w:noProof/>
                <w:webHidden/>
              </w:rPr>
              <w:fldChar w:fldCharType="end"/>
            </w:r>
          </w:hyperlink>
        </w:p>
        <w:p w14:paraId="3D580647" w14:textId="423ACCED" w:rsidR="00175B2B" w:rsidRDefault="00175B2B">
          <w:pPr>
            <w:pStyle w:val="TOC3"/>
            <w:tabs>
              <w:tab w:val="right" w:leader="dot" w:pos="10790"/>
            </w:tabs>
            <w:rPr>
              <w:noProof/>
            </w:rPr>
          </w:pPr>
          <w:hyperlink w:anchor="_Toc227618163" w:history="1">
            <w:r w:rsidRPr="009258B5">
              <w:rPr>
                <w:rStyle w:val="Hyperlink"/>
                <w:noProof/>
              </w:rPr>
              <w:t>4.1 Investment Thesis: The AI-Energy Nexus play</w:t>
            </w:r>
            <w:r>
              <w:rPr>
                <w:noProof/>
                <w:webHidden/>
              </w:rPr>
              <w:tab/>
            </w:r>
            <w:r>
              <w:rPr>
                <w:noProof/>
                <w:webHidden/>
              </w:rPr>
              <w:fldChar w:fldCharType="begin"/>
            </w:r>
            <w:r>
              <w:rPr>
                <w:noProof/>
                <w:webHidden/>
              </w:rPr>
              <w:instrText xml:space="preserve"> PAGEREF _Toc227618163 \h </w:instrText>
            </w:r>
            <w:r>
              <w:rPr>
                <w:noProof/>
                <w:webHidden/>
              </w:rPr>
            </w:r>
            <w:r>
              <w:rPr>
                <w:noProof/>
                <w:webHidden/>
              </w:rPr>
              <w:fldChar w:fldCharType="separate"/>
            </w:r>
            <w:r>
              <w:rPr>
                <w:noProof/>
                <w:webHidden/>
              </w:rPr>
              <w:t>6</w:t>
            </w:r>
            <w:r>
              <w:rPr>
                <w:noProof/>
                <w:webHidden/>
              </w:rPr>
              <w:fldChar w:fldCharType="end"/>
            </w:r>
          </w:hyperlink>
        </w:p>
        <w:p w14:paraId="74F5A0FD" w14:textId="485F0674" w:rsidR="00175B2B" w:rsidRDefault="00175B2B">
          <w:pPr>
            <w:pStyle w:val="TOC3"/>
            <w:tabs>
              <w:tab w:val="right" w:leader="dot" w:pos="10790"/>
            </w:tabs>
            <w:rPr>
              <w:noProof/>
            </w:rPr>
          </w:pPr>
          <w:hyperlink w:anchor="_Toc227618164" w:history="1">
            <w:r w:rsidRPr="009258B5">
              <w:rPr>
                <w:rStyle w:val="Hyperlink"/>
                <w:noProof/>
              </w:rPr>
              <w:t>4.2 Capital Allocation: From Risk Profile to Optimal Portfolio</w:t>
            </w:r>
            <w:r>
              <w:rPr>
                <w:noProof/>
                <w:webHidden/>
              </w:rPr>
              <w:tab/>
            </w:r>
            <w:r>
              <w:rPr>
                <w:noProof/>
                <w:webHidden/>
              </w:rPr>
              <w:fldChar w:fldCharType="begin"/>
            </w:r>
            <w:r>
              <w:rPr>
                <w:noProof/>
                <w:webHidden/>
              </w:rPr>
              <w:instrText xml:space="preserve"> PAGEREF _Toc227618164 \h </w:instrText>
            </w:r>
            <w:r>
              <w:rPr>
                <w:noProof/>
                <w:webHidden/>
              </w:rPr>
            </w:r>
            <w:r>
              <w:rPr>
                <w:noProof/>
                <w:webHidden/>
              </w:rPr>
              <w:fldChar w:fldCharType="separate"/>
            </w:r>
            <w:r>
              <w:rPr>
                <w:noProof/>
                <w:webHidden/>
              </w:rPr>
              <w:t>7</w:t>
            </w:r>
            <w:r>
              <w:rPr>
                <w:noProof/>
                <w:webHidden/>
              </w:rPr>
              <w:fldChar w:fldCharType="end"/>
            </w:r>
          </w:hyperlink>
        </w:p>
        <w:p w14:paraId="0E2E09E4" w14:textId="635BD1FD" w:rsidR="00175B2B" w:rsidRDefault="00175B2B">
          <w:pPr>
            <w:pStyle w:val="TOC3"/>
            <w:tabs>
              <w:tab w:val="right" w:leader="dot" w:pos="10790"/>
            </w:tabs>
            <w:rPr>
              <w:noProof/>
            </w:rPr>
          </w:pPr>
          <w:hyperlink w:anchor="_Toc227618165" w:history="1">
            <w:r w:rsidRPr="009258B5">
              <w:rPr>
                <w:rStyle w:val="Hyperlink"/>
                <w:noProof/>
              </w:rPr>
              <w:t>4.3 Asset Class Allocation: Bond Portfolio</w:t>
            </w:r>
            <w:r>
              <w:rPr>
                <w:noProof/>
                <w:webHidden/>
              </w:rPr>
              <w:tab/>
            </w:r>
            <w:r>
              <w:rPr>
                <w:noProof/>
                <w:webHidden/>
              </w:rPr>
              <w:fldChar w:fldCharType="begin"/>
            </w:r>
            <w:r>
              <w:rPr>
                <w:noProof/>
                <w:webHidden/>
              </w:rPr>
              <w:instrText xml:space="preserve"> PAGEREF _Toc227618165 \h </w:instrText>
            </w:r>
            <w:r>
              <w:rPr>
                <w:noProof/>
                <w:webHidden/>
              </w:rPr>
            </w:r>
            <w:r>
              <w:rPr>
                <w:noProof/>
                <w:webHidden/>
              </w:rPr>
              <w:fldChar w:fldCharType="separate"/>
            </w:r>
            <w:r>
              <w:rPr>
                <w:noProof/>
                <w:webHidden/>
              </w:rPr>
              <w:t>8</w:t>
            </w:r>
            <w:r>
              <w:rPr>
                <w:noProof/>
                <w:webHidden/>
              </w:rPr>
              <w:fldChar w:fldCharType="end"/>
            </w:r>
          </w:hyperlink>
        </w:p>
        <w:p w14:paraId="173E2C99" w14:textId="410A71B9" w:rsidR="00175B2B" w:rsidRDefault="00175B2B">
          <w:pPr>
            <w:pStyle w:val="TOC3"/>
            <w:tabs>
              <w:tab w:val="right" w:leader="dot" w:pos="10790"/>
            </w:tabs>
            <w:rPr>
              <w:noProof/>
            </w:rPr>
          </w:pPr>
          <w:hyperlink w:anchor="_Toc227618166" w:history="1">
            <w:r w:rsidRPr="009258B5">
              <w:rPr>
                <w:rStyle w:val="Hyperlink"/>
                <w:noProof/>
              </w:rPr>
              <w:t>4.4 Security Selection: The Active Portfolio (Treynor-Black)</w:t>
            </w:r>
            <w:r>
              <w:rPr>
                <w:noProof/>
                <w:webHidden/>
              </w:rPr>
              <w:tab/>
            </w:r>
            <w:r>
              <w:rPr>
                <w:noProof/>
                <w:webHidden/>
              </w:rPr>
              <w:fldChar w:fldCharType="begin"/>
            </w:r>
            <w:r>
              <w:rPr>
                <w:noProof/>
                <w:webHidden/>
              </w:rPr>
              <w:instrText xml:space="preserve"> PAGEREF _Toc227618166 \h </w:instrText>
            </w:r>
            <w:r>
              <w:rPr>
                <w:noProof/>
                <w:webHidden/>
              </w:rPr>
            </w:r>
            <w:r>
              <w:rPr>
                <w:noProof/>
                <w:webHidden/>
              </w:rPr>
              <w:fldChar w:fldCharType="separate"/>
            </w:r>
            <w:r>
              <w:rPr>
                <w:noProof/>
                <w:webHidden/>
              </w:rPr>
              <w:t>9</w:t>
            </w:r>
            <w:r>
              <w:rPr>
                <w:noProof/>
                <w:webHidden/>
              </w:rPr>
              <w:fldChar w:fldCharType="end"/>
            </w:r>
          </w:hyperlink>
        </w:p>
        <w:p w14:paraId="3CFC258F" w14:textId="041CA85F" w:rsidR="00175B2B" w:rsidRDefault="00175B2B">
          <w:pPr>
            <w:pStyle w:val="TOC3"/>
            <w:tabs>
              <w:tab w:val="right" w:leader="dot" w:pos="10790"/>
            </w:tabs>
            <w:rPr>
              <w:noProof/>
            </w:rPr>
          </w:pPr>
          <w:hyperlink w:anchor="_Toc227618168" w:history="1">
            <w:r w:rsidRPr="009258B5">
              <w:rPr>
                <w:rStyle w:val="Hyperlink"/>
                <w:noProof/>
              </w:rPr>
              <w:t>4.5 Individual Stock Analysis &amp; GRID Thesis Rationale</w:t>
            </w:r>
            <w:r>
              <w:rPr>
                <w:noProof/>
                <w:webHidden/>
              </w:rPr>
              <w:tab/>
            </w:r>
            <w:r>
              <w:rPr>
                <w:noProof/>
                <w:webHidden/>
              </w:rPr>
              <w:fldChar w:fldCharType="begin"/>
            </w:r>
            <w:r>
              <w:rPr>
                <w:noProof/>
                <w:webHidden/>
              </w:rPr>
              <w:instrText xml:space="preserve"> PAGEREF _Toc227618168 \h </w:instrText>
            </w:r>
            <w:r>
              <w:rPr>
                <w:noProof/>
                <w:webHidden/>
              </w:rPr>
            </w:r>
            <w:r>
              <w:rPr>
                <w:noProof/>
                <w:webHidden/>
              </w:rPr>
              <w:fldChar w:fldCharType="separate"/>
            </w:r>
            <w:r>
              <w:rPr>
                <w:noProof/>
                <w:webHidden/>
              </w:rPr>
              <w:t>11</w:t>
            </w:r>
            <w:r>
              <w:rPr>
                <w:noProof/>
                <w:webHidden/>
              </w:rPr>
              <w:fldChar w:fldCharType="end"/>
            </w:r>
          </w:hyperlink>
        </w:p>
        <w:p w14:paraId="3039B545" w14:textId="308CD919" w:rsidR="00175B2B" w:rsidRDefault="00175B2B">
          <w:pPr>
            <w:pStyle w:val="TOC3"/>
            <w:tabs>
              <w:tab w:val="right" w:leader="dot" w:pos="10790"/>
            </w:tabs>
            <w:rPr>
              <w:noProof/>
            </w:rPr>
          </w:pPr>
          <w:hyperlink w:anchor="_Toc227618169" w:history="1">
            <w:r w:rsidRPr="009258B5">
              <w:rPr>
                <w:rStyle w:val="Hyperlink"/>
                <w:noProof/>
              </w:rPr>
              <w:t>4.6 Active Portfolio Construction Summary</w:t>
            </w:r>
            <w:r>
              <w:rPr>
                <w:noProof/>
                <w:webHidden/>
              </w:rPr>
              <w:tab/>
            </w:r>
            <w:r>
              <w:rPr>
                <w:noProof/>
                <w:webHidden/>
              </w:rPr>
              <w:fldChar w:fldCharType="begin"/>
            </w:r>
            <w:r>
              <w:rPr>
                <w:noProof/>
                <w:webHidden/>
              </w:rPr>
              <w:instrText xml:space="preserve"> PAGEREF _Toc227618169 \h </w:instrText>
            </w:r>
            <w:r>
              <w:rPr>
                <w:noProof/>
                <w:webHidden/>
              </w:rPr>
            </w:r>
            <w:r>
              <w:rPr>
                <w:noProof/>
                <w:webHidden/>
              </w:rPr>
              <w:fldChar w:fldCharType="separate"/>
            </w:r>
            <w:r>
              <w:rPr>
                <w:noProof/>
                <w:webHidden/>
              </w:rPr>
              <w:t>14</w:t>
            </w:r>
            <w:r>
              <w:rPr>
                <w:noProof/>
                <w:webHidden/>
              </w:rPr>
              <w:fldChar w:fldCharType="end"/>
            </w:r>
          </w:hyperlink>
        </w:p>
        <w:p w14:paraId="30EBD522" w14:textId="65AD29C5" w:rsidR="00175B2B" w:rsidRDefault="00175B2B">
          <w:pPr>
            <w:pStyle w:val="TOC3"/>
            <w:tabs>
              <w:tab w:val="right" w:leader="dot" w:pos="10790"/>
            </w:tabs>
            <w:rPr>
              <w:noProof/>
            </w:rPr>
          </w:pPr>
          <w:hyperlink w:anchor="_Toc227618170" w:history="1">
            <w:r w:rsidRPr="009258B5">
              <w:rPr>
                <w:rStyle w:val="Hyperlink"/>
                <w:noProof/>
              </w:rPr>
              <w:t>4.7 Statistical Significance of Alpha Estimates: P-Value Analysis</w:t>
            </w:r>
            <w:r>
              <w:rPr>
                <w:noProof/>
                <w:webHidden/>
              </w:rPr>
              <w:tab/>
            </w:r>
            <w:r>
              <w:rPr>
                <w:noProof/>
                <w:webHidden/>
              </w:rPr>
              <w:fldChar w:fldCharType="begin"/>
            </w:r>
            <w:r>
              <w:rPr>
                <w:noProof/>
                <w:webHidden/>
              </w:rPr>
              <w:instrText xml:space="preserve"> PAGEREF _Toc227618170 \h </w:instrText>
            </w:r>
            <w:r>
              <w:rPr>
                <w:noProof/>
                <w:webHidden/>
              </w:rPr>
            </w:r>
            <w:r>
              <w:rPr>
                <w:noProof/>
                <w:webHidden/>
              </w:rPr>
              <w:fldChar w:fldCharType="separate"/>
            </w:r>
            <w:r>
              <w:rPr>
                <w:noProof/>
                <w:webHidden/>
              </w:rPr>
              <w:t>15</w:t>
            </w:r>
            <w:r>
              <w:rPr>
                <w:noProof/>
                <w:webHidden/>
              </w:rPr>
              <w:fldChar w:fldCharType="end"/>
            </w:r>
          </w:hyperlink>
        </w:p>
        <w:p w14:paraId="0B26EE05" w14:textId="6C709AA0" w:rsidR="00175B2B" w:rsidRDefault="00175B2B">
          <w:pPr>
            <w:pStyle w:val="TOC1"/>
            <w:tabs>
              <w:tab w:val="right" w:leader="dot" w:pos="10790"/>
            </w:tabs>
            <w:rPr>
              <w:noProof/>
            </w:rPr>
          </w:pPr>
          <w:hyperlink w:anchor="_Toc227618172" w:history="1">
            <w:r w:rsidRPr="009258B5">
              <w:rPr>
                <w:rStyle w:val="Hyperlink"/>
                <w:noProof/>
              </w:rPr>
              <w:t>Section 5 – Risk Management &amp; Performance Evaluation</w:t>
            </w:r>
            <w:r>
              <w:rPr>
                <w:noProof/>
                <w:webHidden/>
              </w:rPr>
              <w:tab/>
            </w:r>
            <w:r>
              <w:rPr>
                <w:noProof/>
                <w:webHidden/>
              </w:rPr>
              <w:fldChar w:fldCharType="begin"/>
            </w:r>
            <w:r>
              <w:rPr>
                <w:noProof/>
                <w:webHidden/>
              </w:rPr>
              <w:instrText xml:space="preserve"> PAGEREF _Toc227618172 \h </w:instrText>
            </w:r>
            <w:r>
              <w:rPr>
                <w:noProof/>
                <w:webHidden/>
              </w:rPr>
            </w:r>
            <w:r>
              <w:rPr>
                <w:noProof/>
                <w:webHidden/>
              </w:rPr>
              <w:fldChar w:fldCharType="separate"/>
            </w:r>
            <w:r>
              <w:rPr>
                <w:noProof/>
                <w:webHidden/>
              </w:rPr>
              <w:t>18</w:t>
            </w:r>
            <w:r>
              <w:rPr>
                <w:noProof/>
                <w:webHidden/>
              </w:rPr>
              <w:fldChar w:fldCharType="end"/>
            </w:r>
          </w:hyperlink>
        </w:p>
        <w:p w14:paraId="7F061768" w14:textId="4DAB7825" w:rsidR="00175B2B" w:rsidRDefault="00175B2B">
          <w:pPr>
            <w:pStyle w:val="TOC3"/>
            <w:tabs>
              <w:tab w:val="right" w:leader="dot" w:pos="10790"/>
            </w:tabs>
            <w:rPr>
              <w:noProof/>
            </w:rPr>
          </w:pPr>
          <w:hyperlink w:anchor="_Toc227618174" w:history="1">
            <w:r w:rsidRPr="009258B5">
              <w:rPr>
                <w:rStyle w:val="Hyperlink"/>
                <w:rFonts w:eastAsia="Arial"/>
                <w:noProof/>
              </w:rPr>
              <w:t>5.1  Risk Decomposition &amp; Portfolio Beta</w:t>
            </w:r>
            <w:r>
              <w:rPr>
                <w:noProof/>
                <w:webHidden/>
              </w:rPr>
              <w:tab/>
            </w:r>
            <w:r>
              <w:rPr>
                <w:noProof/>
                <w:webHidden/>
              </w:rPr>
              <w:fldChar w:fldCharType="begin"/>
            </w:r>
            <w:r>
              <w:rPr>
                <w:noProof/>
                <w:webHidden/>
              </w:rPr>
              <w:instrText xml:space="preserve"> PAGEREF _Toc227618174 \h </w:instrText>
            </w:r>
            <w:r>
              <w:rPr>
                <w:noProof/>
                <w:webHidden/>
              </w:rPr>
            </w:r>
            <w:r>
              <w:rPr>
                <w:noProof/>
                <w:webHidden/>
              </w:rPr>
              <w:fldChar w:fldCharType="separate"/>
            </w:r>
            <w:r>
              <w:rPr>
                <w:noProof/>
                <w:webHidden/>
              </w:rPr>
              <w:t>18</w:t>
            </w:r>
            <w:r>
              <w:rPr>
                <w:noProof/>
                <w:webHidden/>
              </w:rPr>
              <w:fldChar w:fldCharType="end"/>
            </w:r>
          </w:hyperlink>
        </w:p>
        <w:p w14:paraId="27BCECCA" w14:textId="4795DDF9" w:rsidR="00175B2B" w:rsidRDefault="00175B2B">
          <w:pPr>
            <w:pStyle w:val="TOC3"/>
            <w:tabs>
              <w:tab w:val="right" w:leader="dot" w:pos="10790"/>
            </w:tabs>
            <w:rPr>
              <w:noProof/>
            </w:rPr>
          </w:pPr>
          <w:hyperlink w:anchor="_Toc227618175" w:history="1">
            <w:r w:rsidRPr="009258B5">
              <w:rPr>
                <w:rStyle w:val="Hyperlink"/>
                <w:rFonts w:eastAsia="Arial"/>
                <w:noProof/>
              </w:rPr>
              <w:t>5.2  Correlation Structure</w:t>
            </w:r>
            <w:r>
              <w:rPr>
                <w:noProof/>
                <w:webHidden/>
              </w:rPr>
              <w:tab/>
            </w:r>
            <w:r>
              <w:rPr>
                <w:noProof/>
                <w:webHidden/>
              </w:rPr>
              <w:fldChar w:fldCharType="begin"/>
            </w:r>
            <w:r>
              <w:rPr>
                <w:noProof/>
                <w:webHidden/>
              </w:rPr>
              <w:instrText xml:space="preserve"> PAGEREF _Toc227618175 \h </w:instrText>
            </w:r>
            <w:r>
              <w:rPr>
                <w:noProof/>
                <w:webHidden/>
              </w:rPr>
            </w:r>
            <w:r>
              <w:rPr>
                <w:noProof/>
                <w:webHidden/>
              </w:rPr>
              <w:fldChar w:fldCharType="separate"/>
            </w:r>
            <w:r>
              <w:rPr>
                <w:noProof/>
                <w:webHidden/>
              </w:rPr>
              <w:t>19</w:t>
            </w:r>
            <w:r>
              <w:rPr>
                <w:noProof/>
                <w:webHidden/>
              </w:rPr>
              <w:fldChar w:fldCharType="end"/>
            </w:r>
          </w:hyperlink>
        </w:p>
        <w:p w14:paraId="15D4CC8A" w14:textId="2C1308C1" w:rsidR="00175B2B" w:rsidRDefault="00175B2B">
          <w:pPr>
            <w:pStyle w:val="TOC3"/>
            <w:tabs>
              <w:tab w:val="right" w:leader="dot" w:pos="10790"/>
            </w:tabs>
            <w:rPr>
              <w:noProof/>
            </w:rPr>
          </w:pPr>
          <w:hyperlink w:anchor="_Toc227618176" w:history="1">
            <w:r w:rsidRPr="009258B5">
              <w:rPr>
                <w:rStyle w:val="Hyperlink"/>
                <w:rFonts w:eastAsia="Arial"/>
                <w:noProof/>
              </w:rPr>
              <w:t>5.3  Performance Metrics: Active Portfolio vs. ACWI Index</w:t>
            </w:r>
            <w:r>
              <w:rPr>
                <w:noProof/>
                <w:webHidden/>
              </w:rPr>
              <w:tab/>
            </w:r>
            <w:r>
              <w:rPr>
                <w:noProof/>
                <w:webHidden/>
              </w:rPr>
              <w:fldChar w:fldCharType="begin"/>
            </w:r>
            <w:r>
              <w:rPr>
                <w:noProof/>
                <w:webHidden/>
              </w:rPr>
              <w:instrText xml:space="preserve"> PAGEREF _Toc227618176 \h </w:instrText>
            </w:r>
            <w:r>
              <w:rPr>
                <w:noProof/>
                <w:webHidden/>
              </w:rPr>
            </w:r>
            <w:r>
              <w:rPr>
                <w:noProof/>
                <w:webHidden/>
              </w:rPr>
              <w:fldChar w:fldCharType="separate"/>
            </w:r>
            <w:r>
              <w:rPr>
                <w:noProof/>
                <w:webHidden/>
              </w:rPr>
              <w:t>20</w:t>
            </w:r>
            <w:r>
              <w:rPr>
                <w:noProof/>
                <w:webHidden/>
              </w:rPr>
              <w:fldChar w:fldCharType="end"/>
            </w:r>
          </w:hyperlink>
        </w:p>
        <w:p w14:paraId="1FB784BB" w14:textId="4B1F2AB4" w:rsidR="00175B2B" w:rsidRDefault="00175B2B">
          <w:pPr>
            <w:pStyle w:val="TOC3"/>
            <w:tabs>
              <w:tab w:val="right" w:leader="dot" w:pos="10790"/>
            </w:tabs>
            <w:rPr>
              <w:noProof/>
            </w:rPr>
          </w:pPr>
          <w:hyperlink w:anchor="_Toc227618177" w:history="1">
            <w:r w:rsidRPr="009258B5">
              <w:rPr>
                <w:rStyle w:val="Hyperlink"/>
                <w:rFonts w:eastAsia="Arial"/>
                <w:noProof/>
              </w:rPr>
              <w:t>5.4  Benchmark &amp; Performance Measurement Protocol</w:t>
            </w:r>
            <w:r>
              <w:rPr>
                <w:noProof/>
                <w:webHidden/>
              </w:rPr>
              <w:tab/>
            </w:r>
            <w:r>
              <w:rPr>
                <w:noProof/>
                <w:webHidden/>
              </w:rPr>
              <w:fldChar w:fldCharType="begin"/>
            </w:r>
            <w:r>
              <w:rPr>
                <w:noProof/>
                <w:webHidden/>
              </w:rPr>
              <w:instrText xml:space="preserve"> PAGEREF _Toc227618177 \h </w:instrText>
            </w:r>
            <w:r>
              <w:rPr>
                <w:noProof/>
                <w:webHidden/>
              </w:rPr>
            </w:r>
            <w:r>
              <w:rPr>
                <w:noProof/>
                <w:webHidden/>
              </w:rPr>
              <w:fldChar w:fldCharType="separate"/>
            </w:r>
            <w:r>
              <w:rPr>
                <w:noProof/>
                <w:webHidden/>
              </w:rPr>
              <w:t>20</w:t>
            </w:r>
            <w:r>
              <w:rPr>
                <w:noProof/>
                <w:webHidden/>
              </w:rPr>
              <w:fldChar w:fldCharType="end"/>
            </w:r>
          </w:hyperlink>
        </w:p>
        <w:p w14:paraId="5E6BAF0E" w14:textId="340BD91C" w:rsidR="00175B2B" w:rsidRDefault="00175B2B">
          <w:pPr>
            <w:pStyle w:val="TOC1"/>
            <w:tabs>
              <w:tab w:val="right" w:leader="dot" w:pos="10790"/>
            </w:tabs>
            <w:rPr>
              <w:noProof/>
            </w:rPr>
          </w:pPr>
          <w:hyperlink w:anchor="_Toc227618178" w:history="1">
            <w:r w:rsidRPr="009258B5">
              <w:rPr>
                <w:rStyle w:val="Hyperlink"/>
                <w:noProof/>
              </w:rPr>
              <w:t>Section 6 – Portfolio Valuation Analysis</w:t>
            </w:r>
            <w:r>
              <w:rPr>
                <w:noProof/>
                <w:webHidden/>
              </w:rPr>
              <w:tab/>
            </w:r>
            <w:r>
              <w:rPr>
                <w:noProof/>
                <w:webHidden/>
              </w:rPr>
              <w:fldChar w:fldCharType="begin"/>
            </w:r>
            <w:r>
              <w:rPr>
                <w:noProof/>
                <w:webHidden/>
              </w:rPr>
              <w:instrText xml:space="preserve"> PAGEREF _Toc227618178 \h </w:instrText>
            </w:r>
            <w:r>
              <w:rPr>
                <w:noProof/>
                <w:webHidden/>
              </w:rPr>
            </w:r>
            <w:r>
              <w:rPr>
                <w:noProof/>
                <w:webHidden/>
              </w:rPr>
              <w:fldChar w:fldCharType="separate"/>
            </w:r>
            <w:r>
              <w:rPr>
                <w:noProof/>
                <w:webHidden/>
              </w:rPr>
              <w:t>20</w:t>
            </w:r>
            <w:r>
              <w:rPr>
                <w:noProof/>
                <w:webHidden/>
              </w:rPr>
              <w:fldChar w:fldCharType="end"/>
            </w:r>
          </w:hyperlink>
        </w:p>
        <w:p w14:paraId="5FCA52E9" w14:textId="79489F8D" w:rsidR="00175B2B" w:rsidRDefault="00175B2B">
          <w:pPr>
            <w:pStyle w:val="TOC3"/>
            <w:tabs>
              <w:tab w:val="right" w:leader="dot" w:pos="10790"/>
            </w:tabs>
            <w:rPr>
              <w:noProof/>
            </w:rPr>
          </w:pPr>
          <w:hyperlink w:anchor="_Toc227618180" w:history="1">
            <w:r w:rsidRPr="009258B5">
              <w:rPr>
                <w:rStyle w:val="Hyperlink"/>
                <w:rFonts w:eastAsia="Arial"/>
                <w:noProof/>
              </w:rPr>
              <w:t>6.1  Alpha Adjustment Methodology</w:t>
            </w:r>
            <w:r>
              <w:rPr>
                <w:noProof/>
                <w:webHidden/>
              </w:rPr>
              <w:tab/>
            </w:r>
            <w:r>
              <w:rPr>
                <w:noProof/>
                <w:webHidden/>
              </w:rPr>
              <w:fldChar w:fldCharType="begin"/>
            </w:r>
            <w:r>
              <w:rPr>
                <w:noProof/>
                <w:webHidden/>
              </w:rPr>
              <w:instrText xml:space="preserve"> PAGEREF _Toc227618180 \h </w:instrText>
            </w:r>
            <w:r>
              <w:rPr>
                <w:noProof/>
                <w:webHidden/>
              </w:rPr>
            </w:r>
            <w:r>
              <w:rPr>
                <w:noProof/>
                <w:webHidden/>
              </w:rPr>
              <w:fldChar w:fldCharType="separate"/>
            </w:r>
            <w:r>
              <w:rPr>
                <w:noProof/>
                <w:webHidden/>
              </w:rPr>
              <w:t>20</w:t>
            </w:r>
            <w:r>
              <w:rPr>
                <w:noProof/>
                <w:webHidden/>
              </w:rPr>
              <w:fldChar w:fldCharType="end"/>
            </w:r>
          </w:hyperlink>
        </w:p>
        <w:p w14:paraId="6FDB8B1C" w14:textId="7E192F0E" w:rsidR="00175B2B" w:rsidRDefault="00175B2B">
          <w:pPr>
            <w:pStyle w:val="TOC3"/>
            <w:tabs>
              <w:tab w:val="right" w:leader="dot" w:pos="10790"/>
            </w:tabs>
            <w:rPr>
              <w:noProof/>
            </w:rPr>
          </w:pPr>
          <w:hyperlink w:anchor="_Toc227618181" w:history="1">
            <w:r w:rsidRPr="009258B5">
              <w:rPr>
                <w:rStyle w:val="Hyperlink"/>
                <w:rFonts w:eastAsia="Arial"/>
                <w:noProof/>
              </w:rPr>
              <w:t>6.2  Valuation vs. Active Weight Alignment</w:t>
            </w:r>
            <w:r>
              <w:rPr>
                <w:noProof/>
                <w:webHidden/>
              </w:rPr>
              <w:tab/>
            </w:r>
            <w:r>
              <w:rPr>
                <w:noProof/>
                <w:webHidden/>
              </w:rPr>
              <w:fldChar w:fldCharType="begin"/>
            </w:r>
            <w:r>
              <w:rPr>
                <w:noProof/>
                <w:webHidden/>
              </w:rPr>
              <w:instrText xml:space="preserve"> PAGEREF _Toc227618181 \h </w:instrText>
            </w:r>
            <w:r>
              <w:rPr>
                <w:noProof/>
                <w:webHidden/>
              </w:rPr>
            </w:r>
            <w:r>
              <w:rPr>
                <w:noProof/>
                <w:webHidden/>
              </w:rPr>
              <w:fldChar w:fldCharType="separate"/>
            </w:r>
            <w:r>
              <w:rPr>
                <w:noProof/>
                <w:webHidden/>
              </w:rPr>
              <w:t>21</w:t>
            </w:r>
            <w:r>
              <w:rPr>
                <w:noProof/>
                <w:webHidden/>
              </w:rPr>
              <w:fldChar w:fldCharType="end"/>
            </w:r>
          </w:hyperlink>
        </w:p>
        <w:p w14:paraId="5474A28A" w14:textId="5475CAA7" w:rsidR="00175B2B" w:rsidRDefault="00175B2B">
          <w:pPr>
            <w:pStyle w:val="TOC3"/>
            <w:tabs>
              <w:tab w:val="right" w:leader="dot" w:pos="10790"/>
            </w:tabs>
            <w:rPr>
              <w:noProof/>
            </w:rPr>
          </w:pPr>
          <w:hyperlink w:anchor="_Toc227618182" w:history="1">
            <w:r w:rsidRPr="009258B5">
              <w:rPr>
                <w:rStyle w:val="Hyperlink"/>
                <w:rFonts w:eastAsia="Arial"/>
                <w:noProof/>
              </w:rPr>
              <w:t>6.3  Bond Valuation &amp; Duration Implications</w:t>
            </w:r>
            <w:r>
              <w:rPr>
                <w:noProof/>
                <w:webHidden/>
              </w:rPr>
              <w:tab/>
            </w:r>
            <w:r>
              <w:rPr>
                <w:noProof/>
                <w:webHidden/>
              </w:rPr>
              <w:fldChar w:fldCharType="begin"/>
            </w:r>
            <w:r>
              <w:rPr>
                <w:noProof/>
                <w:webHidden/>
              </w:rPr>
              <w:instrText xml:space="preserve"> PAGEREF _Toc227618182 \h </w:instrText>
            </w:r>
            <w:r>
              <w:rPr>
                <w:noProof/>
                <w:webHidden/>
              </w:rPr>
            </w:r>
            <w:r>
              <w:rPr>
                <w:noProof/>
                <w:webHidden/>
              </w:rPr>
              <w:fldChar w:fldCharType="separate"/>
            </w:r>
            <w:r>
              <w:rPr>
                <w:noProof/>
                <w:webHidden/>
              </w:rPr>
              <w:t>21</w:t>
            </w:r>
            <w:r>
              <w:rPr>
                <w:noProof/>
                <w:webHidden/>
              </w:rPr>
              <w:fldChar w:fldCharType="end"/>
            </w:r>
          </w:hyperlink>
        </w:p>
        <w:p w14:paraId="198C5B3B" w14:textId="12533753" w:rsidR="00175B2B" w:rsidRDefault="00175B2B">
          <w:pPr>
            <w:pStyle w:val="TOC1"/>
            <w:tabs>
              <w:tab w:val="right" w:leader="dot" w:pos="10790"/>
            </w:tabs>
            <w:rPr>
              <w:noProof/>
            </w:rPr>
          </w:pPr>
          <w:hyperlink w:anchor="_Toc227618183" w:history="1">
            <w:r w:rsidRPr="009258B5">
              <w:rPr>
                <w:rStyle w:val="Hyperlink"/>
                <w:noProof/>
              </w:rPr>
              <w:t>Section 7 – Performance Measurement &amp; Monitoring: Excel Model as a tool to meet Client’s Goals</w:t>
            </w:r>
            <w:r>
              <w:rPr>
                <w:noProof/>
                <w:webHidden/>
              </w:rPr>
              <w:tab/>
            </w:r>
            <w:r>
              <w:rPr>
                <w:noProof/>
                <w:webHidden/>
              </w:rPr>
              <w:fldChar w:fldCharType="begin"/>
            </w:r>
            <w:r>
              <w:rPr>
                <w:noProof/>
                <w:webHidden/>
              </w:rPr>
              <w:instrText xml:space="preserve"> PAGEREF _Toc227618183 \h </w:instrText>
            </w:r>
            <w:r>
              <w:rPr>
                <w:noProof/>
                <w:webHidden/>
              </w:rPr>
            </w:r>
            <w:r>
              <w:rPr>
                <w:noProof/>
                <w:webHidden/>
              </w:rPr>
              <w:fldChar w:fldCharType="separate"/>
            </w:r>
            <w:r>
              <w:rPr>
                <w:noProof/>
                <w:webHidden/>
              </w:rPr>
              <w:t>22</w:t>
            </w:r>
            <w:r>
              <w:rPr>
                <w:noProof/>
                <w:webHidden/>
              </w:rPr>
              <w:fldChar w:fldCharType="end"/>
            </w:r>
          </w:hyperlink>
        </w:p>
        <w:p w14:paraId="3A681438" w14:textId="658DCE3C" w:rsidR="00175B2B" w:rsidRDefault="00175B2B">
          <w:pPr>
            <w:pStyle w:val="TOC3"/>
            <w:tabs>
              <w:tab w:val="right" w:leader="dot" w:pos="10790"/>
            </w:tabs>
            <w:rPr>
              <w:noProof/>
            </w:rPr>
          </w:pPr>
          <w:hyperlink w:anchor="_Toc227618185" w:history="1">
            <w:r w:rsidRPr="009258B5">
              <w:rPr>
                <w:rStyle w:val="Hyperlink"/>
                <w:noProof/>
              </w:rPr>
              <w:t>7.1 The Portfolio Construction Bridge</w:t>
            </w:r>
            <w:r>
              <w:rPr>
                <w:noProof/>
                <w:webHidden/>
              </w:rPr>
              <w:tab/>
            </w:r>
            <w:r>
              <w:rPr>
                <w:noProof/>
                <w:webHidden/>
              </w:rPr>
              <w:fldChar w:fldCharType="begin"/>
            </w:r>
            <w:r>
              <w:rPr>
                <w:noProof/>
                <w:webHidden/>
              </w:rPr>
              <w:instrText xml:space="preserve"> PAGEREF _Toc227618185 \h </w:instrText>
            </w:r>
            <w:r>
              <w:rPr>
                <w:noProof/>
                <w:webHidden/>
              </w:rPr>
            </w:r>
            <w:r>
              <w:rPr>
                <w:noProof/>
                <w:webHidden/>
              </w:rPr>
              <w:fldChar w:fldCharType="separate"/>
            </w:r>
            <w:r>
              <w:rPr>
                <w:noProof/>
                <w:webHidden/>
              </w:rPr>
              <w:t>22</w:t>
            </w:r>
            <w:r>
              <w:rPr>
                <w:noProof/>
                <w:webHidden/>
              </w:rPr>
              <w:fldChar w:fldCharType="end"/>
            </w:r>
          </w:hyperlink>
        </w:p>
        <w:p w14:paraId="45DC7B37" w14:textId="5510F6D6" w:rsidR="00175B2B" w:rsidRDefault="00175B2B">
          <w:pPr>
            <w:pStyle w:val="TOC3"/>
            <w:tabs>
              <w:tab w:val="right" w:leader="dot" w:pos="10790"/>
            </w:tabs>
            <w:rPr>
              <w:noProof/>
            </w:rPr>
          </w:pPr>
          <w:hyperlink w:anchor="_Toc227618186" w:history="1">
            <w:r w:rsidRPr="009258B5">
              <w:rPr>
                <w:rStyle w:val="Hyperlink"/>
                <w:noProof/>
              </w:rPr>
              <w:t>7.2 KPI Monitoring Dashboard</w:t>
            </w:r>
            <w:r>
              <w:rPr>
                <w:noProof/>
                <w:webHidden/>
              </w:rPr>
              <w:tab/>
            </w:r>
            <w:r>
              <w:rPr>
                <w:noProof/>
                <w:webHidden/>
              </w:rPr>
              <w:fldChar w:fldCharType="begin"/>
            </w:r>
            <w:r>
              <w:rPr>
                <w:noProof/>
                <w:webHidden/>
              </w:rPr>
              <w:instrText xml:space="preserve"> PAGEREF _Toc227618186 \h </w:instrText>
            </w:r>
            <w:r>
              <w:rPr>
                <w:noProof/>
                <w:webHidden/>
              </w:rPr>
            </w:r>
            <w:r>
              <w:rPr>
                <w:noProof/>
                <w:webHidden/>
              </w:rPr>
              <w:fldChar w:fldCharType="separate"/>
            </w:r>
            <w:r>
              <w:rPr>
                <w:noProof/>
                <w:webHidden/>
              </w:rPr>
              <w:t>23</w:t>
            </w:r>
            <w:r>
              <w:rPr>
                <w:noProof/>
                <w:webHidden/>
              </w:rPr>
              <w:fldChar w:fldCharType="end"/>
            </w:r>
          </w:hyperlink>
        </w:p>
        <w:p w14:paraId="366FC2C6" w14:textId="7F038DC6" w:rsidR="00175B2B" w:rsidRDefault="00175B2B">
          <w:pPr>
            <w:pStyle w:val="TOC3"/>
            <w:tabs>
              <w:tab w:val="right" w:leader="dot" w:pos="10790"/>
            </w:tabs>
            <w:rPr>
              <w:noProof/>
            </w:rPr>
          </w:pPr>
          <w:hyperlink w:anchor="_Toc227618187" w:history="1">
            <w:r w:rsidRPr="009258B5">
              <w:rPr>
                <w:rStyle w:val="Hyperlink"/>
                <w:noProof/>
              </w:rPr>
              <w:t>7.3 Model Refresh Protocol</w:t>
            </w:r>
            <w:r>
              <w:rPr>
                <w:noProof/>
                <w:webHidden/>
              </w:rPr>
              <w:tab/>
            </w:r>
            <w:r>
              <w:rPr>
                <w:noProof/>
                <w:webHidden/>
              </w:rPr>
              <w:fldChar w:fldCharType="begin"/>
            </w:r>
            <w:r>
              <w:rPr>
                <w:noProof/>
                <w:webHidden/>
              </w:rPr>
              <w:instrText xml:space="preserve"> PAGEREF _Toc227618187 \h </w:instrText>
            </w:r>
            <w:r>
              <w:rPr>
                <w:noProof/>
                <w:webHidden/>
              </w:rPr>
            </w:r>
            <w:r>
              <w:rPr>
                <w:noProof/>
                <w:webHidden/>
              </w:rPr>
              <w:fldChar w:fldCharType="separate"/>
            </w:r>
            <w:r>
              <w:rPr>
                <w:noProof/>
                <w:webHidden/>
              </w:rPr>
              <w:t>23</w:t>
            </w:r>
            <w:r>
              <w:rPr>
                <w:noProof/>
                <w:webHidden/>
              </w:rPr>
              <w:fldChar w:fldCharType="end"/>
            </w:r>
          </w:hyperlink>
        </w:p>
        <w:p w14:paraId="788FFEF1" w14:textId="57E0DED8" w:rsidR="00175B2B" w:rsidRDefault="00175B2B">
          <w:pPr>
            <w:pStyle w:val="TOC3"/>
            <w:tabs>
              <w:tab w:val="right" w:leader="dot" w:pos="10790"/>
            </w:tabs>
            <w:rPr>
              <w:noProof/>
            </w:rPr>
          </w:pPr>
          <w:hyperlink w:anchor="_Toc227618188" w:history="1">
            <w:r w:rsidRPr="009258B5">
              <w:rPr>
                <w:rStyle w:val="Hyperlink"/>
                <w:noProof/>
              </w:rPr>
              <w:t>7.4 Reporting Check</w:t>
            </w:r>
            <w:r>
              <w:rPr>
                <w:noProof/>
                <w:webHidden/>
              </w:rPr>
              <w:tab/>
            </w:r>
            <w:r>
              <w:rPr>
                <w:noProof/>
                <w:webHidden/>
              </w:rPr>
              <w:fldChar w:fldCharType="begin"/>
            </w:r>
            <w:r>
              <w:rPr>
                <w:noProof/>
                <w:webHidden/>
              </w:rPr>
              <w:instrText xml:space="preserve"> PAGEREF _Toc227618188 \h </w:instrText>
            </w:r>
            <w:r>
              <w:rPr>
                <w:noProof/>
                <w:webHidden/>
              </w:rPr>
            </w:r>
            <w:r>
              <w:rPr>
                <w:noProof/>
                <w:webHidden/>
              </w:rPr>
              <w:fldChar w:fldCharType="separate"/>
            </w:r>
            <w:r>
              <w:rPr>
                <w:noProof/>
                <w:webHidden/>
              </w:rPr>
              <w:t>24</w:t>
            </w:r>
            <w:r>
              <w:rPr>
                <w:noProof/>
                <w:webHidden/>
              </w:rPr>
              <w:fldChar w:fldCharType="end"/>
            </w:r>
          </w:hyperlink>
        </w:p>
        <w:p w14:paraId="47345BA9" w14:textId="5A917D19" w:rsidR="00175B2B" w:rsidRDefault="00175B2B">
          <w:pPr>
            <w:pStyle w:val="TOC1"/>
            <w:tabs>
              <w:tab w:val="right" w:leader="dot" w:pos="10790"/>
            </w:tabs>
            <w:rPr>
              <w:noProof/>
            </w:rPr>
          </w:pPr>
          <w:hyperlink w:anchor="_Toc227618189" w:history="1">
            <w:r w:rsidRPr="009258B5">
              <w:rPr>
                <w:rStyle w:val="Hyperlink"/>
                <w:noProof/>
              </w:rPr>
              <w:t>Appendices</w:t>
            </w:r>
            <w:r>
              <w:rPr>
                <w:noProof/>
                <w:webHidden/>
              </w:rPr>
              <w:tab/>
            </w:r>
            <w:r>
              <w:rPr>
                <w:noProof/>
                <w:webHidden/>
              </w:rPr>
              <w:fldChar w:fldCharType="begin"/>
            </w:r>
            <w:r>
              <w:rPr>
                <w:noProof/>
                <w:webHidden/>
              </w:rPr>
              <w:instrText xml:space="preserve"> PAGEREF _Toc227618189 \h </w:instrText>
            </w:r>
            <w:r>
              <w:rPr>
                <w:noProof/>
                <w:webHidden/>
              </w:rPr>
            </w:r>
            <w:r>
              <w:rPr>
                <w:noProof/>
                <w:webHidden/>
              </w:rPr>
              <w:fldChar w:fldCharType="separate"/>
            </w:r>
            <w:r>
              <w:rPr>
                <w:noProof/>
                <w:webHidden/>
              </w:rPr>
              <w:t>25</w:t>
            </w:r>
            <w:r>
              <w:rPr>
                <w:noProof/>
                <w:webHidden/>
              </w:rPr>
              <w:fldChar w:fldCharType="end"/>
            </w:r>
          </w:hyperlink>
        </w:p>
        <w:p w14:paraId="3EAD42D4" w14:textId="2FA4A866" w:rsidR="00175B2B" w:rsidRDefault="00175B2B">
          <w:pPr>
            <w:pStyle w:val="TOC3"/>
            <w:tabs>
              <w:tab w:val="right" w:leader="dot" w:pos="10790"/>
            </w:tabs>
            <w:rPr>
              <w:noProof/>
            </w:rPr>
          </w:pPr>
          <w:hyperlink w:anchor="_Toc227618190" w:history="1">
            <w:r w:rsidRPr="009258B5">
              <w:rPr>
                <w:rStyle w:val="Hyperlink"/>
                <w:noProof/>
              </w:rPr>
              <w:t>Appendix A – Investor Profiling Framework Summary</w:t>
            </w:r>
            <w:r>
              <w:rPr>
                <w:noProof/>
                <w:webHidden/>
              </w:rPr>
              <w:tab/>
            </w:r>
            <w:r>
              <w:rPr>
                <w:noProof/>
                <w:webHidden/>
              </w:rPr>
              <w:fldChar w:fldCharType="begin"/>
            </w:r>
            <w:r>
              <w:rPr>
                <w:noProof/>
                <w:webHidden/>
              </w:rPr>
              <w:instrText xml:space="preserve"> PAGEREF _Toc227618190 \h </w:instrText>
            </w:r>
            <w:r>
              <w:rPr>
                <w:noProof/>
                <w:webHidden/>
              </w:rPr>
            </w:r>
            <w:r>
              <w:rPr>
                <w:noProof/>
                <w:webHidden/>
              </w:rPr>
              <w:fldChar w:fldCharType="separate"/>
            </w:r>
            <w:r>
              <w:rPr>
                <w:noProof/>
                <w:webHidden/>
              </w:rPr>
              <w:t>25</w:t>
            </w:r>
            <w:r>
              <w:rPr>
                <w:noProof/>
                <w:webHidden/>
              </w:rPr>
              <w:fldChar w:fldCharType="end"/>
            </w:r>
          </w:hyperlink>
        </w:p>
        <w:p w14:paraId="17E99017" w14:textId="6FCC5B7E" w:rsidR="00175B2B" w:rsidRDefault="00175B2B">
          <w:pPr>
            <w:pStyle w:val="TOC3"/>
            <w:tabs>
              <w:tab w:val="right" w:leader="dot" w:pos="10790"/>
            </w:tabs>
            <w:rPr>
              <w:noProof/>
            </w:rPr>
          </w:pPr>
          <w:hyperlink w:anchor="_Toc227618191" w:history="1">
            <w:r w:rsidRPr="009258B5">
              <w:rPr>
                <w:rStyle w:val="Hyperlink"/>
                <w:noProof/>
              </w:rPr>
              <w:t>Appendix B – Glossary of Key Terms</w:t>
            </w:r>
            <w:r>
              <w:rPr>
                <w:noProof/>
                <w:webHidden/>
              </w:rPr>
              <w:tab/>
            </w:r>
            <w:r>
              <w:rPr>
                <w:noProof/>
                <w:webHidden/>
              </w:rPr>
              <w:fldChar w:fldCharType="begin"/>
            </w:r>
            <w:r>
              <w:rPr>
                <w:noProof/>
                <w:webHidden/>
              </w:rPr>
              <w:instrText xml:space="preserve"> PAGEREF _Toc227618191 \h </w:instrText>
            </w:r>
            <w:r>
              <w:rPr>
                <w:noProof/>
                <w:webHidden/>
              </w:rPr>
            </w:r>
            <w:r>
              <w:rPr>
                <w:noProof/>
                <w:webHidden/>
              </w:rPr>
              <w:fldChar w:fldCharType="separate"/>
            </w:r>
            <w:r>
              <w:rPr>
                <w:noProof/>
                <w:webHidden/>
              </w:rPr>
              <w:t>25</w:t>
            </w:r>
            <w:r>
              <w:rPr>
                <w:noProof/>
                <w:webHidden/>
              </w:rPr>
              <w:fldChar w:fldCharType="end"/>
            </w:r>
          </w:hyperlink>
        </w:p>
        <w:p w14:paraId="76498A5C" w14:textId="3B962697" w:rsidR="00175B2B" w:rsidRDefault="00175B2B">
          <w:pPr>
            <w:pStyle w:val="TOC1"/>
            <w:tabs>
              <w:tab w:val="right" w:leader="dot" w:pos="10790"/>
            </w:tabs>
            <w:rPr>
              <w:noProof/>
            </w:rPr>
          </w:pPr>
          <w:hyperlink w:anchor="_Toc227618192" w:history="1">
            <w:r w:rsidRPr="009258B5">
              <w:rPr>
                <w:rStyle w:val="Hyperlink"/>
                <w:noProof/>
              </w:rPr>
              <w:t>Bibliography</w:t>
            </w:r>
            <w:r>
              <w:rPr>
                <w:noProof/>
                <w:webHidden/>
              </w:rPr>
              <w:tab/>
            </w:r>
            <w:r>
              <w:rPr>
                <w:noProof/>
                <w:webHidden/>
              </w:rPr>
              <w:fldChar w:fldCharType="begin"/>
            </w:r>
            <w:r>
              <w:rPr>
                <w:noProof/>
                <w:webHidden/>
              </w:rPr>
              <w:instrText xml:space="preserve"> PAGEREF _Toc227618192 \h </w:instrText>
            </w:r>
            <w:r>
              <w:rPr>
                <w:noProof/>
                <w:webHidden/>
              </w:rPr>
            </w:r>
            <w:r>
              <w:rPr>
                <w:noProof/>
                <w:webHidden/>
              </w:rPr>
              <w:fldChar w:fldCharType="separate"/>
            </w:r>
            <w:r>
              <w:rPr>
                <w:noProof/>
                <w:webHidden/>
              </w:rPr>
              <w:t>26</w:t>
            </w:r>
            <w:r>
              <w:rPr>
                <w:noProof/>
                <w:webHidden/>
              </w:rPr>
              <w:fldChar w:fldCharType="end"/>
            </w:r>
          </w:hyperlink>
        </w:p>
        <w:p w14:paraId="5F303687" w14:textId="14FEC0D5" w:rsidR="00175B2B" w:rsidRDefault="00175B2B" w:rsidP="00175B2B">
          <w:r>
            <w:rPr>
              <w:b/>
              <w:bCs/>
              <w:noProof/>
            </w:rPr>
            <w:fldChar w:fldCharType="end"/>
          </w:r>
        </w:p>
      </w:sdtContent>
    </w:sdt>
    <w:bookmarkStart w:id="9" w:name="_Toc227618145" w:displacedByCustomXml="prev"/>
    <w:p w14:paraId="519FEAE0" w14:textId="77777777" w:rsidR="007A27CE" w:rsidRDefault="007A27CE" w:rsidP="00D96135">
      <w:pPr>
        <w:pStyle w:val="Heading1"/>
      </w:pPr>
    </w:p>
    <w:p w14:paraId="36BC93BB" w14:textId="53A3E548" w:rsidR="00D96135" w:rsidRDefault="00D96135" w:rsidP="00D96135">
      <w:pPr>
        <w:pStyle w:val="Heading1"/>
      </w:pPr>
      <w:r>
        <w:t>Section 1 – Scope and Purpose of IPS</w:t>
      </w:r>
      <w:bookmarkEnd w:id="9"/>
    </w:p>
    <w:p w14:paraId="57A6F5FB" w14:textId="30076621" w:rsidR="00D96135" w:rsidRDefault="00D96135" w:rsidP="00D96135">
      <w:pPr>
        <w:pStyle w:val="Heading2"/>
      </w:pPr>
      <w:bookmarkStart w:id="10" w:name="_Toc227618146"/>
      <w:r>
        <w:t>The mandate of this IPS serves as the governing roles and responsibilities for all discretionary portfolio decisions affecting Mr. Minh Tri Nguyen. The review of this written amendment signed by both the client and portfolio manager should be done at an annual frequency.</w:t>
      </w:r>
      <w:bookmarkEnd w:id="10"/>
    </w:p>
    <w:p w14:paraId="2D3A7872" w14:textId="6625BF12" w:rsidR="00D96135" w:rsidRDefault="00D96135" w:rsidP="00D96135">
      <w:pPr>
        <w:rPr>
          <w:lang w:val="en-CA"/>
        </w:rPr>
      </w:pPr>
      <w:r w:rsidRPr="00D96135">
        <w:rPr>
          <w:lang w:val="en-CA"/>
        </w:rPr>
        <w:t>Effective of April 2026, this investment policy sets out the complete gove</w:t>
      </w:r>
      <w:r>
        <w:rPr>
          <w:lang w:val="en-CA"/>
        </w:rPr>
        <w:t>rnance framework for the discretionary portfolio management mandate of Mr. Minh Tri Nguyen (The “Clients”), which is to the function as a binding contract between the Clients and the Portfolio Manager under Dr. Paul Ahn’s Investment Team, ensuring consistency with the Client’s objective, constraints, risk profile, and financial context.</w:t>
      </w:r>
    </w:p>
    <w:p w14:paraId="373019AD" w14:textId="77777777" w:rsidR="00D96135" w:rsidRDefault="00D96135" w:rsidP="00D96135">
      <w:pPr>
        <w:rPr>
          <w:lang w:val="en-CA"/>
        </w:rPr>
      </w:pPr>
    </w:p>
    <w:p w14:paraId="061B772D" w14:textId="2F1FA099" w:rsidR="00D96135" w:rsidRPr="00D96135" w:rsidRDefault="00D96135" w:rsidP="00F31E96">
      <w:pPr>
        <w:pStyle w:val="Heading3"/>
        <w:numPr>
          <w:ilvl w:val="1"/>
          <w:numId w:val="1"/>
        </w:numPr>
      </w:pPr>
      <w:bookmarkStart w:id="11" w:name="_Toc227618147"/>
      <w:r>
        <w:t>Objectives of this Document</w:t>
      </w:r>
      <w:bookmarkEnd w:id="11"/>
    </w:p>
    <w:p w14:paraId="37C5820E" w14:textId="4DE8AABB" w:rsidR="00F20633" w:rsidRDefault="00F31E96" w:rsidP="00F31E96">
      <w:pPr>
        <w:pStyle w:val="ListParagraph"/>
        <w:numPr>
          <w:ilvl w:val="0"/>
          <w:numId w:val="8"/>
        </w:numPr>
      </w:pPr>
      <w:r>
        <w:t>To define the Client’s investment goals (return and risk) with qualitative and quantitative rationale;</w:t>
      </w:r>
    </w:p>
    <w:p w14:paraId="7D9AEC80" w14:textId="4E3C68D2" w:rsidR="00F31E96" w:rsidRDefault="00F31E96" w:rsidP="00F31E96">
      <w:pPr>
        <w:pStyle w:val="ListParagraph"/>
        <w:numPr>
          <w:ilvl w:val="0"/>
          <w:numId w:val="8"/>
        </w:numPr>
      </w:pPr>
      <w:r>
        <w:t>To implement Strategic Asset Allocation, tactical asset allocation and allowed investment brackets for each class;</w:t>
      </w:r>
    </w:p>
    <w:p w14:paraId="4A5066E6" w14:textId="02E71154" w:rsidR="00F31E96" w:rsidRDefault="00F31E96" w:rsidP="00F31E96">
      <w:pPr>
        <w:pStyle w:val="ListParagraph"/>
        <w:numPr>
          <w:ilvl w:val="0"/>
          <w:numId w:val="8"/>
        </w:numPr>
      </w:pPr>
      <w:r>
        <w:t>To draw out all crucial constraints pertaining time horizon, liquidity, legal, tax and individual considerations;</w:t>
      </w:r>
    </w:p>
    <w:p w14:paraId="40DD06AE" w14:textId="5E28BF29" w:rsidR="00F31E96" w:rsidRDefault="00F31E96" w:rsidP="00F31E96">
      <w:pPr>
        <w:pStyle w:val="ListParagraph"/>
        <w:numPr>
          <w:ilvl w:val="0"/>
          <w:numId w:val="8"/>
        </w:numPr>
      </w:pPr>
      <w:r>
        <w:t>To report the philosophy of active management and financial planning style through selection of equity assets;</w:t>
      </w:r>
    </w:p>
    <w:p w14:paraId="4B0889D3" w14:textId="7E3A2D96" w:rsidR="00F31E96" w:rsidRDefault="00F31E96" w:rsidP="00F31E96">
      <w:pPr>
        <w:pStyle w:val="ListParagraph"/>
        <w:numPr>
          <w:ilvl w:val="0"/>
          <w:numId w:val="8"/>
        </w:numPr>
      </w:pPr>
      <w:r>
        <w:t>To determine the performance KPIs and</w:t>
      </w:r>
      <w:r w:rsidR="002308E8">
        <w:t xml:space="preserve"> discern the</w:t>
      </w:r>
      <w:r>
        <w:t xml:space="preserve"> surveillance, readjustment and risk considerations procedures;</w:t>
      </w:r>
    </w:p>
    <w:p w14:paraId="337F51F7" w14:textId="4D015434" w:rsidR="00F31E96" w:rsidRDefault="00F31E96" w:rsidP="00F31E96">
      <w:pPr>
        <w:pStyle w:val="ListParagraph"/>
        <w:numPr>
          <w:ilvl w:val="0"/>
          <w:numId w:val="8"/>
        </w:numPr>
      </w:pPr>
      <w:r>
        <w:t>To account for a clear record of precisely driven allocation methodology with known and trusted supporting materials and assumptions</w:t>
      </w:r>
      <w:r w:rsidR="00974DCA">
        <w:t>.</w:t>
      </w:r>
    </w:p>
    <w:p w14:paraId="217F238B" w14:textId="776A7221" w:rsidR="00974DCA" w:rsidRDefault="00974DCA" w:rsidP="00974DCA">
      <w:pPr>
        <w:pStyle w:val="Heading3"/>
        <w:numPr>
          <w:ilvl w:val="1"/>
          <w:numId w:val="1"/>
        </w:numPr>
      </w:pPr>
      <w:bookmarkStart w:id="12" w:name="_Toc227618148"/>
      <w:r>
        <w:t>Document Governance</w:t>
      </w:r>
      <w:bookmarkEnd w:id="12"/>
    </w:p>
    <w:p w14:paraId="1DAFAC1C" w14:textId="5D238321" w:rsidR="00974DCA" w:rsidRDefault="00974DCA" w:rsidP="00974DCA">
      <w:pPr>
        <w:rPr>
          <w:lang w:val="en-CA"/>
        </w:rPr>
      </w:pPr>
      <w:r w:rsidRPr="00974DCA">
        <w:rPr>
          <w:b/>
          <w:bCs/>
          <w:lang w:val="en-CA"/>
        </w:rPr>
        <w:t>Review Frequency:</w:t>
      </w:r>
      <w:r w:rsidRPr="00974DCA">
        <w:rPr>
          <w:lang w:val="en-CA"/>
        </w:rPr>
        <w:t xml:space="preserve"> Annual at mini</w:t>
      </w:r>
      <w:r>
        <w:rPr>
          <w:lang w:val="en-CA"/>
        </w:rPr>
        <w:t>mum; ad hoc review triggered by any material change in client circumstances, market regime shift (defined as &gt;15% portfolio drawdown), or amendment to the simulation mandate.</w:t>
      </w:r>
    </w:p>
    <w:p w14:paraId="5EB643C8" w14:textId="4C93F15B" w:rsidR="00974DCA" w:rsidRDefault="00974DCA" w:rsidP="00974DCA">
      <w:pPr>
        <w:rPr>
          <w:lang w:val="en-CA"/>
        </w:rPr>
      </w:pPr>
      <w:r w:rsidRPr="00974DCA">
        <w:rPr>
          <w:b/>
          <w:bCs/>
          <w:lang w:val="en-CA"/>
        </w:rPr>
        <w:t>Amendment Protocol</w:t>
      </w:r>
      <w:r>
        <w:rPr>
          <w:lang w:val="en-CA"/>
        </w:rPr>
        <w:t>: Any substantive change to SAA, risk limits, or benchmarks requires written documentation and a client consultation meeting.</w:t>
      </w:r>
    </w:p>
    <w:p w14:paraId="5DBE006F" w14:textId="63EFD04D" w:rsidR="00974DCA" w:rsidRPr="00974DCA" w:rsidRDefault="00974DCA" w:rsidP="00974DCA">
      <w:pPr>
        <w:rPr>
          <w:lang w:val="en-CA"/>
        </w:rPr>
      </w:pPr>
      <w:r w:rsidRPr="00974DCA">
        <w:rPr>
          <w:b/>
          <w:bCs/>
          <w:lang w:val="en-CA"/>
        </w:rPr>
        <w:t>Reporting Cadence:</w:t>
      </w:r>
      <w:r>
        <w:rPr>
          <w:lang w:val="en-CA"/>
        </w:rPr>
        <w:t xml:space="preserve"> Quarterly performance reports delivered against the blended benchmark. Annual IPS review includes full attribution analysis, benchmark validation, and risk parameter reassessment. </w:t>
      </w:r>
    </w:p>
    <w:p w14:paraId="540CB25B" w14:textId="43F7B8B2" w:rsidR="00F31E96" w:rsidRDefault="00F31E96" w:rsidP="00F31E96">
      <w:pPr>
        <w:pStyle w:val="Heading1"/>
      </w:pPr>
      <w:bookmarkStart w:id="13" w:name="_Toc227618149"/>
      <w:r>
        <w:t xml:space="preserve">Section 2 – Governing Roles and </w:t>
      </w:r>
      <w:r w:rsidR="002308E8">
        <w:t>Responsibilities</w:t>
      </w:r>
      <w:bookmarkEnd w:id="13"/>
    </w:p>
    <w:p w14:paraId="0EE1F479" w14:textId="4FFB727B" w:rsidR="00F31E96" w:rsidRDefault="002308E8" w:rsidP="00F31E96">
      <w:pPr>
        <w:pStyle w:val="Heading2"/>
      </w:pPr>
      <w:bookmarkStart w:id="14" w:name="_Toc227618150"/>
      <w:r>
        <w:t>Governance efficacy depends on the precise mapping of accountability and the demarcation of functional boundaries between the portfolio manager and the client base</w:t>
      </w:r>
      <w:bookmarkEnd w:id="14"/>
    </w:p>
    <w:p w14:paraId="6F6A4743" w14:textId="209DF14F" w:rsidR="002308E8" w:rsidRDefault="002308E8" w:rsidP="002308E8">
      <w:pPr>
        <w:pStyle w:val="Heading3"/>
      </w:pPr>
      <w:bookmarkStart w:id="15" w:name="_Toc227618151"/>
      <w:r>
        <w:t>2.1 Investment Team under Dr. Paul Ahn</w:t>
      </w:r>
      <w:bookmarkEnd w:id="15"/>
    </w:p>
    <w:p w14:paraId="21EC7708" w14:textId="256A756B" w:rsidR="002308E8" w:rsidRDefault="002308E8" w:rsidP="002308E8">
      <w:pPr>
        <w:rPr>
          <w:lang w:val="en-CA"/>
        </w:rPr>
      </w:pPr>
      <w:r>
        <w:rPr>
          <w:lang w:val="en-CA"/>
        </w:rPr>
        <w:t>The portfolio is under management by Alexandre Ly operating under Dr. Paul Ahn’s Investment Group</w:t>
      </w:r>
      <w:r w:rsidR="00962141">
        <w:rPr>
          <w:lang w:val="en-CA"/>
        </w:rPr>
        <w:t xml:space="preserve"> with a simulated discretionary mandate within Hult Business School Boston Portfolio Management programme. The portfolio manager has the responsibility as fiduciaries to prioritise the </w:t>
      </w:r>
      <w:r w:rsidR="00A03C0F">
        <w:rPr>
          <w:lang w:val="en-CA"/>
        </w:rPr>
        <w:t>clients’</w:t>
      </w:r>
      <w:r w:rsidR="00962141">
        <w:rPr>
          <w:lang w:val="en-CA"/>
        </w:rPr>
        <w:t xml:space="preserve"> interests above all considerations, adhering to the spirit and letter of the CFA Institute’s Code of Ethics and Standards of Professional Conduct.</w:t>
      </w:r>
    </w:p>
    <w:p w14:paraId="1377D6C2" w14:textId="77777777" w:rsidR="00962141" w:rsidRDefault="00962141" w:rsidP="002308E8">
      <w:pPr>
        <w:rPr>
          <w:lang w:val="en-CA"/>
        </w:rPr>
      </w:pPr>
    </w:p>
    <w:p w14:paraId="17F90198" w14:textId="77777777" w:rsidR="00962141" w:rsidRDefault="00962141" w:rsidP="002308E8">
      <w:pPr>
        <w:rPr>
          <w:lang w:val="en-CA"/>
        </w:rPr>
      </w:pPr>
    </w:p>
    <w:p w14:paraId="219C6264" w14:textId="77777777" w:rsidR="00962141" w:rsidRDefault="00962141" w:rsidP="002308E8">
      <w:pPr>
        <w:rPr>
          <w:lang w:val="en-CA"/>
        </w:rPr>
      </w:pPr>
    </w:p>
    <w:p w14:paraId="6A71A929" w14:textId="73184E22" w:rsidR="00962141" w:rsidRDefault="00962141" w:rsidP="00962141">
      <w:pPr>
        <w:pStyle w:val="Heading3"/>
      </w:pPr>
      <w:bookmarkStart w:id="16" w:name="_Toc227618152"/>
      <w:r>
        <w:lastRenderedPageBreak/>
        <w:t>2.2 Decision-Making Authority</w:t>
      </w:r>
      <w:bookmarkEnd w:id="16"/>
    </w:p>
    <w:p w14:paraId="789D16F5" w14:textId="459D4D0C" w:rsidR="00962141" w:rsidRDefault="00962141" w:rsidP="00962141">
      <w:pPr>
        <w:pStyle w:val="ListParagraph"/>
        <w:numPr>
          <w:ilvl w:val="0"/>
          <w:numId w:val="8"/>
        </w:numPr>
      </w:pPr>
      <w:r>
        <w:t>Tactical demarcations within the allocated range</w:t>
      </w:r>
      <w:r w:rsidR="00974DCA">
        <w:t xml:space="preserve"> (See Capital Allocation Table, Section 4.2): </w:t>
      </w:r>
      <w:r>
        <w:t>Discretionary authority of portfolio manager;</w:t>
      </w:r>
    </w:p>
    <w:p w14:paraId="24B1C600" w14:textId="3304889E" w:rsidR="00962141" w:rsidRDefault="00962141" w:rsidP="00962141">
      <w:pPr>
        <w:pStyle w:val="ListParagraph"/>
        <w:numPr>
          <w:ilvl w:val="0"/>
          <w:numId w:val="8"/>
        </w:numPr>
      </w:pPr>
      <w:r>
        <w:t>Any modifications to SAA or risk boundaries: Require the Clients and portfolio manager consensus and written IPS amendment;</w:t>
      </w:r>
    </w:p>
    <w:p w14:paraId="2060813C" w14:textId="683A6FE2" w:rsidR="00962141" w:rsidRDefault="00962141" w:rsidP="00962141">
      <w:pPr>
        <w:pStyle w:val="ListParagraph"/>
        <w:numPr>
          <w:ilvl w:val="0"/>
          <w:numId w:val="8"/>
        </w:numPr>
      </w:pPr>
      <w:r>
        <w:t>Concentration Limits: Positions exceeding 3% of the portfolio require a formal request and the Clients approval.</w:t>
      </w:r>
    </w:p>
    <w:p w14:paraId="37D9722F" w14:textId="7F7DCB36" w:rsidR="00962141" w:rsidRDefault="00E5370F" w:rsidP="00E5370F">
      <w:pPr>
        <w:pStyle w:val="Heading3"/>
      </w:pPr>
      <w:bookmarkStart w:id="17" w:name="_Toc227618153"/>
      <w:r>
        <w:t>2.3 Client Responsibilities</w:t>
      </w:r>
      <w:bookmarkEnd w:id="17"/>
    </w:p>
    <w:p w14:paraId="7A661309" w14:textId="36E9D48F" w:rsidR="00E5370F" w:rsidRDefault="00E5370F" w:rsidP="00E5370F">
      <w:pPr>
        <w:rPr>
          <w:lang w:val="en-CA"/>
        </w:rPr>
      </w:pPr>
      <w:r>
        <w:rPr>
          <w:lang w:val="en-CA"/>
        </w:rPr>
        <w:t xml:space="preserve">The Client’s responsibilities </w:t>
      </w:r>
      <w:proofErr w:type="gramStart"/>
      <w:r w:rsidR="00974DCA">
        <w:rPr>
          <w:lang w:val="en-CA"/>
        </w:rPr>
        <w:t>lies</w:t>
      </w:r>
      <w:proofErr w:type="gramEnd"/>
      <w:r w:rsidR="00974DCA">
        <w:rPr>
          <w:lang w:val="en-CA"/>
        </w:rPr>
        <w:t xml:space="preserve"> </w:t>
      </w:r>
      <w:r>
        <w:rPr>
          <w:lang w:val="en-CA"/>
        </w:rPr>
        <w:t>in the timely disclosure of any material changes in their personal or financial circumstances. This includes changes in employment, significant undisclosed expenditures (&gt;$25,000), family composition, inheritance or windfall receipt, or changes in risk appetite.</w:t>
      </w:r>
    </w:p>
    <w:p w14:paraId="52D96F60" w14:textId="7A92A930" w:rsidR="00E5370F" w:rsidRDefault="00E5370F" w:rsidP="00E5370F">
      <w:pPr>
        <w:pStyle w:val="Heading1"/>
      </w:pPr>
      <w:bookmarkStart w:id="18" w:name="_Toc227618154"/>
      <w:r>
        <w:t>Section 3 – Investment, Return, and Risk Objectives</w:t>
      </w:r>
      <w:bookmarkEnd w:id="18"/>
    </w:p>
    <w:p w14:paraId="090F2163" w14:textId="366F0CC6" w:rsidR="00E5370F" w:rsidRDefault="00E5370F" w:rsidP="00E5370F">
      <w:pPr>
        <w:pStyle w:val="Heading2"/>
      </w:pPr>
      <w:bookmarkStart w:id="19" w:name="_Toc227618155"/>
      <w:r>
        <w:t>The following section presents a comprehensive quantitative and qualitative analysis of the Clients</w:t>
      </w:r>
      <w:r w:rsidR="00617C68">
        <w:t>’ financial profile, return targets, and risk tolerance, supported by 2026 market data and investor profiling frameworks.</w:t>
      </w:r>
      <w:bookmarkEnd w:id="19"/>
    </w:p>
    <w:p w14:paraId="76A37185" w14:textId="41DC5659" w:rsidR="00617C68" w:rsidRDefault="00617C68" w:rsidP="00617C68">
      <w:pPr>
        <w:pStyle w:val="Heading3"/>
      </w:pPr>
      <w:bookmarkStart w:id="20" w:name="_Toc227618156"/>
      <w:r>
        <w:t>3.1 Client Financial Profile</w:t>
      </w:r>
      <w:bookmarkEnd w:id="20"/>
      <w:r>
        <w:t xml:space="preserve"> </w:t>
      </w:r>
    </w:p>
    <w:p w14:paraId="1C1C3AAE" w14:textId="527A3069" w:rsidR="00FB4FB9" w:rsidRDefault="00617C68" w:rsidP="00617C68">
      <w:pPr>
        <w:rPr>
          <w:lang w:val="en-CA"/>
        </w:rPr>
      </w:pPr>
      <w:r>
        <w:rPr>
          <w:lang w:val="en-CA"/>
        </w:rPr>
        <w:t xml:space="preserve">The table below provides a structured snapshot of the Client’s </w:t>
      </w:r>
      <w:r w:rsidR="00B02475">
        <w:rPr>
          <w:lang w:val="en-CA"/>
        </w:rPr>
        <w:t xml:space="preserve">financial state as the basis for all subsequent </w:t>
      </w:r>
      <w:r w:rsidR="001A198A">
        <w:rPr>
          <w:lang w:val="en-CA"/>
        </w:rPr>
        <w:t>investment decisions. Total gross investable liquid assets are estimated at approximately $</w:t>
      </w:r>
      <w:r w:rsidR="00974DCA">
        <w:rPr>
          <w:lang w:val="en-CA"/>
        </w:rPr>
        <w:t>81</w:t>
      </w:r>
      <w:r w:rsidR="001A198A">
        <w:rPr>
          <w:lang w:val="en-CA"/>
        </w:rPr>
        <w:t xml:space="preserve">,000, with an additional $186,000 in net real estate equity </w:t>
      </w:r>
      <w:r w:rsidR="00FB4FB9">
        <w:rPr>
          <w:lang w:val="en-CA"/>
        </w:rPr>
        <w:t xml:space="preserve">held as a long-term, illiquid asset not included in the investable portfolio. </w:t>
      </w:r>
    </w:p>
    <w:p w14:paraId="6826CEE9" w14:textId="77777777" w:rsidR="00FB4FB9" w:rsidRDefault="00FB4FB9" w:rsidP="00617C68">
      <w:pPr>
        <w:rPr>
          <w:lang w:val="en-CA"/>
        </w:rPr>
      </w:pPr>
    </w:p>
    <w:tbl>
      <w:tblPr>
        <w:tblStyle w:val="GridTable4-Accent1"/>
        <w:tblW w:w="0" w:type="auto"/>
        <w:tblLook w:val="04A0" w:firstRow="1" w:lastRow="0" w:firstColumn="1" w:lastColumn="0" w:noHBand="0" w:noVBand="1"/>
      </w:tblPr>
      <w:tblGrid>
        <w:gridCol w:w="2830"/>
        <w:gridCol w:w="7938"/>
      </w:tblGrid>
      <w:tr w:rsidR="00A03C0F" w14:paraId="033A6F40" w14:textId="77777777" w:rsidTr="00BB2D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783A160" w14:textId="17D32D55" w:rsidR="00A03C0F" w:rsidRDefault="00A03C0F" w:rsidP="00617C68">
            <w:pPr>
              <w:rPr>
                <w:lang w:val="en-CA"/>
              </w:rPr>
            </w:pPr>
            <w:r>
              <w:rPr>
                <w:lang w:val="en-CA"/>
              </w:rPr>
              <w:t>Profile Dimension</w:t>
            </w:r>
          </w:p>
        </w:tc>
        <w:tc>
          <w:tcPr>
            <w:tcW w:w="7938" w:type="dxa"/>
          </w:tcPr>
          <w:p w14:paraId="6FD2BA9C" w14:textId="19E55567" w:rsidR="00A03C0F" w:rsidRDefault="00A03C0F" w:rsidP="00617C68">
            <w:pPr>
              <w:cnfStyle w:val="100000000000" w:firstRow="1" w:lastRow="0" w:firstColumn="0" w:lastColumn="0" w:oddVBand="0" w:evenVBand="0" w:oddHBand="0" w:evenHBand="0" w:firstRowFirstColumn="0" w:firstRowLastColumn="0" w:lastRowFirstColumn="0" w:lastRowLastColumn="0"/>
              <w:rPr>
                <w:lang w:val="en-CA"/>
              </w:rPr>
            </w:pPr>
            <w:r>
              <w:rPr>
                <w:lang w:val="en-CA"/>
              </w:rPr>
              <w:t>Mr. Minh Tri Nguyen</w:t>
            </w:r>
          </w:p>
        </w:tc>
      </w:tr>
      <w:tr w:rsidR="00A03C0F" w:rsidRPr="007D4E4F" w14:paraId="1AE3E8D0" w14:textId="77777777" w:rsidTr="00BB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3CA969B" w14:textId="2A63E49A" w:rsidR="00A03C0F" w:rsidRDefault="00A03C0F" w:rsidP="00617C68">
            <w:pPr>
              <w:rPr>
                <w:lang w:val="en-CA"/>
              </w:rPr>
            </w:pPr>
            <w:r>
              <w:rPr>
                <w:lang w:val="en-CA"/>
              </w:rPr>
              <w:t>Age/Stage</w:t>
            </w:r>
          </w:p>
        </w:tc>
        <w:tc>
          <w:tcPr>
            <w:tcW w:w="7938" w:type="dxa"/>
          </w:tcPr>
          <w:p w14:paraId="3E00BD87" w14:textId="58F180E3" w:rsidR="00A03C0F" w:rsidRDefault="00A03C0F" w:rsidP="00617C68">
            <w:pPr>
              <w:cnfStyle w:val="000000100000" w:firstRow="0" w:lastRow="0" w:firstColumn="0" w:lastColumn="0" w:oddVBand="0" w:evenVBand="0" w:oddHBand="1" w:evenHBand="0" w:firstRowFirstColumn="0" w:firstRowLastColumn="0" w:lastRowFirstColumn="0" w:lastRowLastColumn="0"/>
              <w:rPr>
                <w:lang w:val="en-CA"/>
              </w:rPr>
            </w:pPr>
            <w:r>
              <w:rPr>
                <w:lang w:val="en-CA"/>
              </w:rPr>
              <w:t>Mid-to-late 30s/ Accumulation Phase</w:t>
            </w:r>
          </w:p>
        </w:tc>
      </w:tr>
      <w:tr w:rsidR="00A03C0F" w:rsidRPr="007D4E4F" w14:paraId="21084EE9" w14:textId="77777777" w:rsidTr="00BB2DC3">
        <w:tc>
          <w:tcPr>
            <w:cnfStyle w:val="001000000000" w:firstRow="0" w:lastRow="0" w:firstColumn="1" w:lastColumn="0" w:oddVBand="0" w:evenVBand="0" w:oddHBand="0" w:evenHBand="0" w:firstRowFirstColumn="0" w:firstRowLastColumn="0" w:lastRowFirstColumn="0" w:lastRowLastColumn="0"/>
            <w:tcW w:w="2830" w:type="dxa"/>
          </w:tcPr>
          <w:p w14:paraId="346732E1" w14:textId="30F40550" w:rsidR="00A03C0F" w:rsidRDefault="00A03C0F" w:rsidP="00617C68">
            <w:pPr>
              <w:rPr>
                <w:lang w:val="en-CA"/>
              </w:rPr>
            </w:pPr>
            <w:r>
              <w:rPr>
                <w:lang w:val="en-CA"/>
              </w:rPr>
              <w:t>Employment</w:t>
            </w:r>
          </w:p>
        </w:tc>
        <w:tc>
          <w:tcPr>
            <w:tcW w:w="7938" w:type="dxa"/>
          </w:tcPr>
          <w:p w14:paraId="7617A7DE" w14:textId="726DA596" w:rsidR="00A03C0F" w:rsidRDefault="00A03C0F" w:rsidP="00617C68">
            <w:pPr>
              <w:cnfStyle w:val="000000000000" w:firstRow="0" w:lastRow="0" w:firstColumn="0" w:lastColumn="0" w:oddVBand="0" w:evenVBand="0" w:oddHBand="0" w:evenHBand="0" w:firstRowFirstColumn="0" w:firstRowLastColumn="0" w:lastRowFirstColumn="0" w:lastRowLastColumn="0"/>
              <w:rPr>
                <w:lang w:val="en-CA"/>
              </w:rPr>
            </w:pPr>
            <w:r>
              <w:rPr>
                <w:lang w:val="en-CA"/>
              </w:rPr>
              <w:t>Full-Time – Career-Driven Professional</w:t>
            </w:r>
          </w:p>
        </w:tc>
      </w:tr>
      <w:tr w:rsidR="00A03C0F" w:rsidRPr="007D4E4F" w14:paraId="74C00871" w14:textId="77777777" w:rsidTr="00BB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6C80008" w14:textId="19FCA9F2" w:rsidR="00A03C0F" w:rsidRDefault="00A03C0F" w:rsidP="00617C68">
            <w:pPr>
              <w:rPr>
                <w:lang w:val="en-CA"/>
              </w:rPr>
            </w:pPr>
            <w:r>
              <w:rPr>
                <w:lang w:val="en-CA"/>
              </w:rPr>
              <w:t>Primary Assets</w:t>
            </w:r>
          </w:p>
        </w:tc>
        <w:tc>
          <w:tcPr>
            <w:tcW w:w="7938" w:type="dxa"/>
          </w:tcPr>
          <w:p w14:paraId="51B6265F" w14:textId="0D470504" w:rsidR="00A03C0F" w:rsidRDefault="00A03C0F" w:rsidP="00617C68">
            <w:pPr>
              <w:cnfStyle w:val="000000100000" w:firstRow="0" w:lastRow="0" w:firstColumn="0" w:lastColumn="0" w:oddVBand="0" w:evenVBand="0" w:oddHBand="1" w:evenHBand="0" w:firstRowFirstColumn="0" w:firstRowLastColumn="0" w:lastRowFirstColumn="0" w:lastRowLastColumn="0"/>
              <w:rPr>
                <w:lang w:val="en-CA"/>
              </w:rPr>
            </w:pPr>
            <w:r>
              <w:rPr>
                <w:lang w:val="en-CA"/>
              </w:rPr>
              <w:t>$35K Employer Stock; $46K Money Market</w:t>
            </w:r>
          </w:p>
        </w:tc>
      </w:tr>
      <w:tr w:rsidR="00A03C0F" w:rsidRPr="007D4E4F" w14:paraId="51E92BB9" w14:textId="77777777" w:rsidTr="00BB2DC3">
        <w:tc>
          <w:tcPr>
            <w:cnfStyle w:val="001000000000" w:firstRow="0" w:lastRow="0" w:firstColumn="1" w:lastColumn="0" w:oddVBand="0" w:evenVBand="0" w:oddHBand="0" w:evenHBand="0" w:firstRowFirstColumn="0" w:firstRowLastColumn="0" w:lastRowFirstColumn="0" w:lastRowLastColumn="0"/>
            <w:tcW w:w="2830" w:type="dxa"/>
          </w:tcPr>
          <w:p w14:paraId="0610D8AE" w14:textId="221FD29C" w:rsidR="00A03C0F" w:rsidRDefault="00A03C0F" w:rsidP="00617C68">
            <w:pPr>
              <w:rPr>
                <w:lang w:val="en-CA"/>
              </w:rPr>
            </w:pPr>
            <w:r>
              <w:rPr>
                <w:lang w:val="en-CA"/>
              </w:rPr>
              <w:t>Real Estate</w:t>
            </w:r>
          </w:p>
        </w:tc>
        <w:tc>
          <w:tcPr>
            <w:tcW w:w="7938" w:type="dxa"/>
          </w:tcPr>
          <w:p w14:paraId="4F5547D4" w14:textId="7692774A" w:rsidR="00A03C0F" w:rsidRDefault="00A03C0F" w:rsidP="00617C68">
            <w:pPr>
              <w:cnfStyle w:val="000000000000" w:firstRow="0" w:lastRow="0" w:firstColumn="0" w:lastColumn="0" w:oddVBand="0" w:evenVBand="0" w:oddHBand="0" w:evenHBand="0" w:firstRowFirstColumn="0" w:firstRowLastColumn="0" w:lastRowFirstColumn="0" w:lastRowLastColumn="0"/>
              <w:rPr>
                <w:lang w:val="en-CA"/>
              </w:rPr>
            </w:pPr>
            <w:r>
              <w:rPr>
                <w:lang w:val="en-CA"/>
              </w:rPr>
              <w:t>Joint: $186K Net Equity (Primary Residence)</w:t>
            </w:r>
          </w:p>
        </w:tc>
      </w:tr>
      <w:tr w:rsidR="00A03C0F" w:rsidRPr="007D4E4F" w14:paraId="276B9A26" w14:textId="77777777" w:rsidTr="00BB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93F2DC6" w14:textId="4BDD7A2C" w:rsidR="00A03C0F" w:rsidRDefault="00A03C0F" w:rsidP="00FB4FB9">
            <w:pPr>
              <w:rPr>
                <w:lang w:val="en-CA"/>
              </w:rPr>
            </w:pPr>
            <w:r>
              <w:rPr>
                <w:lang w:val="en-CA"/>
              </w:rPr>
              <w:t>Risk Tolerance</w:t>
            </w:r>
          </w:p>
        </w:tc>
        <w:tc>
          <w:tcPr>
            <w:tcW w:w="7938" w:type="dxa"/>
          </w:tcPr>
          <w:p w14:paraId="07CBEF68" w14:textId="0C6F71AC" w:rsidR="00A3461F" w:rsidRDefault="00A03C0F" w:rsidP="00FB4FB9">
            <w:pPr>
              <w:cnfStyle w:val="000000100000" w:firstRow="0" w:lastRow="0" w:firstColumn="0" w:lastColumn="0" w:oddVBand="0" w:evenVBand="0" w:oddHBand="1" w:evenHBand="0" w:firstRowFirstColumn="0" w:firstRowLastColumn="0" w:lastRowFirstColumn="0" w:lastRowLastColumn="0"/>
              <w:rPr>
                <w:lang w:val="en-CA"/>
              </w:rPr>
            </w:pPr>
            <w:r>
              <w:rPr>
                <w:lang w:val="en-CA"/>
              </w:rPr>
              <w:t>[HIGH] Strong Human Capital, Career-Driven Saver</w:t>
            </w:r>
          </w:p>
        </w:tc>
      </w:tr>
      <w:tr w:rsidR="00A3461F" w:rsidRPr="007D4E4F" w14:paraId="312F086B" w14:textId="77777777" w:rsidTr="00BB2DC3">
        <w:tc>
          <w:tcPr>
            <w:cnfStyle w:val="001000000000" w:firstRow="0" w:lastRow="0" w:firstColumn="1" w:lastColumn="0" w:oddVBand="0" w:evenVBand="0" w:oddHBand="0" w:evenHBand="0" w:firstRowFirstColumn="0" w:firstRowLastColumn="0" w:lastRowFirstColumn="0" w:lastRowLastColumn="0"/>
            <w:tcW w:w="2830" w:type="dxa"/>
          </w:tcPr>
          <w:p w14:paraId="429C095F" w14:textId="4F99AD5D" w:rsidR="00A3461F" w:rsidRDefault="00A3461F" w:rsidP="00FB4FB9">
            <w:pPr>
              <w:rPr>
                <w:lang w:val="en-CA"/>
              </w:rPr>
            </w:pPr>
            <w:r>
              <w:rPr>
                <w:lang w:val="en-CA"/>
              </w:rPr>
              <w:t>Special Consideration</w:t>
            </w:r>
          </w:p>
        </w:tc>
        <w:tc>
          <w:tcPr>
            <w:tcW w:w="7938" w:type="dxa"/>
          </w:tcPr>
          <w:p w14:paraId="7720677C" w14:textId="52E764CF" w:rsidR="00A3461F" w:rsidRDefault="00A3461F" w:rsidP="00FB4FB9">
            <w:pPr>
              <w:cnfStyle w:val="000000000000" w:firstRow="0" w:lastRow="0" w:firstColumn="0" w:lastColumn="0" w:oddVBand="0" w:evenVBand="0" w:oddHBand="0" w:evenHBand="0" w:firstRowFirstColumn="0" w:firstRowLastColumn="0" w:lastRowFirstColumn="0" w:lastRowLastColumn="0"/>
              <w:rPr>
                <w:lang w:val="en-CA"/>
              </w:rPr>
            </w:pPr>
            <w:r>
              <w:rPr>
                <w:lang w:val="en-CA"/>
              </w:rPr>
              <w:t>Investments exclusively in the utilities sector</w:t>
            </w:r>
          </w:p>
        </w:tc>
      </w:tr>
      <w:tr w:rsidR="00A03C0F" w14:paraId="5079BEC1" w14:textId="77777777" w:rsidTr="00BB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605745A" w14:textId="07339F21" w:rsidR="00A03C0F" w:rsidRDefault="00A03C0F" w:rsidP="00FB4FB9">
            <w:pPr>
              <w:rPr>
                <w:lang w:val="en-CA"/>
              </w:rPr>
            </w:pPr>
            <w:r>
              <w:rPr>
                <w:lang w:val="en-CA"/>
              </w:rPr>
              <w:t>Return Objective</w:t>
            </w:r>
          </w:p>
        </w:tc>
        <w:tc>
          <w:tcPr>
            <w:tcW w:w="7938" w:type="dxa"/>
          </w:tcPr>
          <w:p w14:paraId="7A4D84A5" w14:textId="69611AD1" w:rsidR="00A03C0F" w:rsidRDefault="00A03C0F" w:rsidP="00FB4FB9">
            <w:pPr>
              <w:cnfStyle w:val="000000100000" w:firstRow="0" w:lastRow="0" w:firstColumn="0" w:lastColumn="0" w:oddVBand="0" w:evenVBand="0" w:oddHBand="1" w:evenHBand="0" w:firstRowFirstColumn="0" w:firstRowLastColumn="0" w:lastRowFirstColumn="0" w:lastRowLastColumn="0"/>
              <w:rPr>
                <w:lang w:val="en-CA"/>
              </w:rPr>
            </w:pPr>
            <w:r>
              <w:rPr>
                <w:lang w:val="en-CA"/>
              </w:rPr>
              <w:t>Long-term Capital Appreciation</w:t>
            </w:r>
          </w:p>
        </w:tc>
      </w:tr>
      <w:tr w:rsidR="00A03C0F" w:rsidRPr="007D4E4F" w14:paraId="54B27BD8" w14:textId="77777777" w:rsidTr="00BB2DC3">
        <w:tc>
          <w:tcPr>
            <w:cnfStyle w:val="001000000000" w:firstRow="0" w:lastRow="0" w:firstColumn="1" w:lastColumn="0" w:oddVBand="0" w:evenVBand="0" w:oddHBand="0" w:evenHBand="0" w:firstRowFirstColumn="0" w:firstRowLastColumn="0" w:lastRowFirstColumn="0" w:lastRowLastColumn="0"/>
            <w:tcW w:w="2830" w:type="dxa"/>
          </w:tcPr>
          <w:p w14:paraId="6997D385" w14:textId="5D011A3E" w:rsidR="00A03C0F" w:rsidRDefault="00A03C0F" w:rsidP="00FB4FB9">
            <w:pPr>
              <w:rPr>
                <w:lang w:val="en-CA"/>
              </w:rPr>
            </w:pPr>
            <w:r>
              <w:rPr>
                <w:lang w:val="en-CA"/>
              </w:rPr>
              <w:t>Liquidity Needs</w:t>
            </w:r>
          </w:p>
        </w:tc>
        <w:tc>
          <w:tcPr>
            <w:tcW w:w="7938" w:type="dxa"/>
          </w:tcPr>
          <w:p w14:paraId="009A7441" w14:textId="138D1E53" w:rsidR="00A03C0F" w:rsidRDefault="00A03C0F" w:rsidP="00FB4FB9">
            <w:pPr>
              <w:cnfStyle w:val="000000000000" w:firstRow="0" w:lastRow="0" w:firstColumn="0" w:lastColumn="0" w:oddVBand="0" w:evenVBand="0" w:oddHBand="0" w:evenHBand="0" w:firstRowFirstColumn="0" w:firstRowLastColumn="0" w:lastRowFirstColumn="0" w:lastRowLastColumn="0"/>
              <w:rPr>
                <w:lang w:val="en-CA"/>
              </w:rPr>
            </w:pPr>
            <w:r>
              <w:rPr>
                <w:lang w:val="en-CA"/>
              </w:rPr>
              <w:t>[LOW] Salaries cover living expenses</w:t>
            </w:r>
          </w:p>
        </w:tc>
      </w:tr>
      <w:tr w:rsidR="00A03C0F" w14:paraId="0F7C746C" w14:textId="77777777" w:rsidTr="00BB2D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A3597D8" w14:textId="68CBF013" w:rsidR="00A03C0F" w:rsidRDefault="00A03C0F" w:rsidP="00FB4FB9">
            <w:pPr>
              <w:rPr>
                <w:lang w:val="en-CA"/>
              </w:rPr>
            </w:pPr>
            <w:r>
              <w:rPr>
                <w:lang w:val="en-CA"/>
              </w:rPr>
              <w:t>Investor Profile (BBK)</w:t>
            </w:r>
          </w:p>
        </w:tc>
        <w:tc>
          <w:tcPr>
            <w:tcW w:w="7938" w:type="dxa"/>
          </w:tcPr>
          <w:p w14:paraId="450EF2F1" w14:textId="499DA4C6" w:rsidR="00A03C0F" w:rsidRDefault="00A03C0F" w:rsidP="00FB4FB9">
            <w:pPr>
              <w:cnfStyle w:val="000000100000" w:firstRow="0" w:lastRow="0" w:firstColumn="0" w:lastColumn="0" w:oddVBand="0" w:evenVBand="0" w:oddHBand="1" w:evenHBand="0" w:firstRowFirstColumn="0" w:firstRowLastColumn="0" w:lastRowFirstColumn="0" w:lastRowLastColumn="0"/>
              <w:rPr>
                <w:lang w:val="en-CA"/>
              </w:rPr>
            </w:pPr>
            <w:r>
              <w:rPr>
                <w:lang w:val="en-CA"/>
              </w:rPr>
              <w:t>Individualist</w:t>
            </w:r>
          </w:p>
        </w:tc>
      </w:tr>
      <w:tr w:rsidR="00A03C0F" w14:paraId="679B7F72" w14:textId="77777777" w:rsidTr="00BB2DC3">
        <w:tc>
          <w:tcPr>
            <w:cnfStyle w:val="001000000000" w:firstRow="0" w:lastRow="0" w:firstColumn="1" w:lastColumn="0" w:oddVBand="0" w:evenVBand="0" w:oddHBand="0" w:evenHBand="0" w:firstRowFirstColumn="0" w:firstRowLastColumn="0" w:lastRowFirstColumn="0" w:lastRowLastColumn="0"/>
            <w:tcW w:w="2830" w:type="dxa"/>
          </w:tcPr>
          <w:p w14:paraId="7A1BFB62" w14:textId="508FC195" w:rsidR="00A03C0F" w:rsidRDefault="00A03C0F" w:rsidP="00FB4FB9">
            <w:pPr>
              <w:rPr>
                <w:lang w:val="en-CA"/>
              </w:rPr>
            </w:pPr>
            <w:r>
              <w:rPr>
                <w:lang w:val="en-CA"/>
              </w:rPr>
              <w:t>Investor Profile (CFA)</w:t>
            </w:r>
          </w:p>
        </w:tc>
        <w:tc>
          <w:tcPr>
            <w:tcW w:w="7938" w:type="dxa"/>
          </w:tcPr>
          <w:p w14:paraId="1E87D36B" w14:textId="433DE91F" w:rsidR="00A03C0F" w:rsidRPr="00FB4FB9" w:rsidRDefault="00A03C0F" w:rsidP="00FB4FB9">
            <w:pPr>
              <w:cnfStyle w:val="000000000000" w:firstRow="0" w:lastRow="0" w:firstColumn="0" w:lastColumn="0" w:oddVBand="0" w:evenVBand="0" w:oddHBand="0" w:evenHBand="0" w:firstRowFirstColumn="0" w:firstRowLastColumn="0" w:lastRowFirstColumn="0" w:lastRowLastColumn="0"/>
            </w:pPr>
            <w:r>
              <w:rPr>
                <w:lang w:val="en-CA"/>
              </w:rPr>
              <w:t>Individualist / Net Saver</w:t>
            </w:r>
          </w:p>
        </w:tc>
      </w:tr>
    </w:tbl>
    <w:p w14:paraId="7C6AB572" w14:textId="279C69D2" w:rsidR="00940208" w:rsidRDefault="00940208" w:rsidP="00940208">
      <w:pPr>
        <w:spacing w:before="30" w:after="100"/>
        <w:jc w:val="center"/>
        <w:rPr>
          <w:rFonts w:ascii="Arial" w:eastAsia="Arial" w:hAnsi="Arial" w:cs="Arial"/>
          <w:i/>
          <w:iCs/>
          <w:color w:val="666666"/>
          <w:sz w:val="17"/>
          <w:szCs w:val="17"/>
          <w:lang w:val="en-CA"/>
        </w:rPr>
      </w:pPr>
      <w:r w:rsidRPr="00940208">
        <w:rPr>
          <w:rFonts w:ascii="Arial" w:eastAsia="Arial" w:hAnsi="Arial" w:cs="Arial"/>
          <w:i/>
          <w:iCs/>
          <w:color w:val="666666"/>
          <w:sz w:val="17"/>
          <w:szCs w:val="17"/>
          <w:lang w:val="en-CA"/>
        </w:rPr>
        <w:t xml:space="preserve">Figure 3.1 — Client Snapshot: Mr. </w:t>
      </w:r>
      <w:r>
        <w:rPr>
          <w:rFonts w:ascii="Arial" w:eastAsia="Arial" w:hAnsi="Arial" w:cs="Arial"/>
          <w:i/>
          <w:iCs/>
          <w:color w:val="666666"/>
          <w:sz w:val="17"/>
          <w:szCs w:val="17"/>
          <w:lang w:val="en-CA"/>
        </w:rPr>
        <w:t>Minh Tri Nguyen</w:t>
      </w:r>
      <w:r w:rsidRPr="00940208">
        <w:rPr>
          <w:rFonts w:ascii="Arial" w:eastAsia="Arial" w:hAnsi="Arial" w:cs="Arial"/>
          <w:i/>
          <w:iCs/>
          <w:color w:val="666666"/>
          <w:sz w:val="17"/>
          <w:szCs w:val="17"/>
          <w:lang w:val="en-CA"/>
        </w:rPr>
        <w:t xml:space="preserve"> (April 2026). Source: </w:t>
      </w:r>
      <w:r>
        <w:rPr>
          <w:rFonts w:ascii="Arial" w:eastAsia="Arial" w:hAnsi="Arial" w:cs="Arial"/>
          <w:i/>
          <w:iCs/>
          <w:color w:val="666666"/>
          <w:sz w:val="17"/>
          <w:szCs w:val="17"/>
          <w:lang w:val="en-CA"/>
        </w:rPr>
        <w:t>Interview</w:t>
      </w:r>
      <w:r w:rsidRPr="00940208">
        <w:rPr>
          <w:rFonts w:ascii="Arial" w:eastAsia="Arial" w:hAnsi="Arial" w:cs="Arial"/>
          <w:i/>
          <w:iCs/>
          <w:color w:val="666666"/>
          <w:sz w:val="17"/>
          <w:szCs w:val="17"/>
          <w:lang w:val="en-CA"/>
        </w:rPr>
        <w:t xml:space="preserve"> data, IPS</w:t>
      </w:r>
      <w:r>
        <w:rPr>
          <w:rFonts w:ascii="Arial" w:eastAsia="Arial" w:hAnsi="Arial" w:cs="Arial"/>
          <w:i/>
          <w:iCs/>
          <w:color w:val="666666"/>
          <w:sz w:val="17"/>
          <w:szCs w:val="17"/>
          <w:lang w:val="en-CA"/>
        </w:rPr>
        <w:t xml:space="preserve"> analysis</w:t>
      </w:r>
    </w:p>
    <w:p w14:paraId="52D559A1" w14:textId="40988C5A" w:rsidR="00974DCA" w:rsidRDefault="002E7078" w:rsidP="00940208">
      <w:pPr>
        <w:spacing w:before="30" w:after="100"/>
        <w:jc w:val="center"/>
        <w:rPr>
          <w:rFonts w:ascii="Arial" w:eastAsia="Arial" w:hAnsi="Arial" w:cs="Arial"/>
          <w:i/>
          <w:iCs/>
          <w:color w:val="666666"/>
          <w:sz w:val="17"/>
          <w:szCs w:val="17"/>
          <w:lang w:val="en-CA"/>
        </w:rPr>
      </w:pPr>
      <w:r>
        <w:rPr>
          <w:noProof/>
          <w14:ligatures w14:val="standardContextual"/>
        </w:rPr>
        <w:lastRenderedPageBreak/>
        <w:drawing>
          <wp:inline distT="0" distB="0" distL="0" distR="0" wp14:anchorId="7B36EE6D" wp14:editId="0565C223">
            <wp:extent cx="6505560" cy="4091000"/>
            <wp:effectExtent l="0" t="0" r="0" b="0"/>
            <wp:docPr id="26" name="Image 2" descr="Picture">
              <a:extLst xmlns:a="http://schemas.openxmlformats.org/drawingml/2006/main">
                <a:ext uri="{FF2B5EF4-FFF2-40B4-BE49-F238E27FC236}">
                  <a16:creationId xmlns:a16="http://schemas.microsoft.com/office/drawing/2014/main" id="{00000000-0008-0000-0800-00001A000000}"/>
                </a:ext>
              </a:extLst>
            </wp:docPr>
            <wp:cNvGraphicFramePr/>
            <a:graphic xmlns:a="http://schemas.openxmlformats.org/drawingml/2006/main">
              <a:graphicData uri="http://schemas.openxmlformats.org/drawingml/2006/picture">
                <pic:pic xmlns:pic="http://schemas.openxmlformats.org/drawingml/2006/picture">
                  <pic:nvPicPr>
                    <pic:cNvPr id="26" name="Image 2" descr="Picture">
                      <a:extLst>
                        <a:ext uri="{FF2B5EF4-FFF2-40B4-BE49-F238E27FC236}">
                          <a16:creationId xmlns:a16="http://schemas.microsoft.com/office/drawing/2014/main" id="{00000000-0008-0000-0800-00001A000000}"/>
                        </a:ext>
                      </a:extLst>
                    </pic:cNvPr>
                    <pic:cNvPicPr/>
                  </pic:nvPicPr>
                  <pic:blipFill>
                    <a:blip r:embed="rId8"/>
                    <a:stretch/>
                  </pic:blipFill>
                  <pic:spPr>
                    <a:xfrm>
                      <a:off x="0" y="0"/>
                      <a:ext cx="6505560" cy="4091000"/>
                    </a:xfrm>
                    <a:prstGeom prst="rect">
                      <a:avLst/>
                    </a:prstGeom>
                    <a:ln w="0">
                      <a:noFill/>
                    </a:ln>
                  </pic:spPr>
                </pic:pic>
              </a:graphicData>
            </a:graphic>
          </wp:inline>
        </w:drawing>
      </w:r>
    </w:p>
    <w:p w14:paraId="367F10E8" w14:textId="12B1D6AE" w:rsidR="00AF21E6" w:rsidRDefault="00AF21E6" w:rsidP="00AF21E6">
      <w:pPr>
        <w:rPr>
          <w:lang w:val="en-CA"/>
        </w:rPr>
      </w:pPr>
    </w:p>
    <w:p w14:paraId="3F3CC3EB" w14:textId="1A9951F3" w:rsidR="00AF21E6" w:rsidRPr="00BB2DC3" w:rsidRDefault="00AF21E6" w:rsidP="00BB2DC3">
      <w:pPr>
        <w:spacing w:before="30" w:after="100"/>
        <w:jc w:val="center"/>
        <w:rPr>
          <w:rFonts w:ascii="Arial" w:eastAsia="Arial" w:hAnsi="Arial" w:cs="Arial"/>
          <w:i/>
          <w:iCs/>
          <w:color w:val="666666"/>
          <w:sz w:val="17"/>
          <w:szCs w:val="17"/>
          <w:lang w:val="en-CA"/>
        </w:rPr>
      </w:pPr>
      <w:r w:rsidRPr="00974DCA">
        <w:rPr>
          <w:rFonts w:ascii="Arial" w:eastAsia="Arial" w:hAnsi="Arial" w:cs="Arial"/>
          <w:i/>
          <w:iCs/>
          <w:color w:val="666666"/>
          <w:sz w:val="17"/>
          <w:szCs w:val="17"/>
          <w:lang w:val="en-CA"/>
        </w:rPr>
        <w:t>Figure 3.2 — Current</w:t>
      </w:r>
      <w:r w:rsidR="00974DCA" w:rsidRPr="00974DCA">
        <w:rPr>
          <w:rFonts w:ascii="Arial" w:eastAsia="Arial" w:hAnsi="Arial" w:cs="Arial"/>
          <w:i/>
          <w:iCs/>
          <w:color w:val="666666"/>
          <w:sz w:val="17"/>
          <w:szCs w:val="17"/>
          <w:lang w:val="en-CA"/>
        </w:rPr>
        <w:t xml:space="preserve"> </w:t>
      </w:r>
      <w:r w:rsidRPr="00974DCA">
        <w:rPr>
          <w:rFonts w:ascii="Arial" w:eastAsia="Arial" w:hAnsi="Arial" w:cs="Arial"/>
          <w:i/>
          <w:iCs/>
          <w:color w:val="666666"/>
          <w:sz w:val="17"/>
          <w:szCs w:val="17"/>
          <w:lang w:val="en-CA"/>
        </w:rPr>
        <w:t>Tactical Asset Allocation. current holdings including real estate equity</w:t>
      </w:r>
      <w:r w:rsidR="00974DCA" w:rsidRPr="00974DCA">
        <w:rPr>
          <w:rFonts w:ascii="Arial" w:eastAsia="Arial" w:hAnsi="Arial" w:cs="Arial"/>
          <w:i/>
          <w:iCs/>
          <w:color w:val="666666"/>
          <w:sz w:val="17"/>
          <w:szCs w:val="17"/>
          <w:lang w:val="en-CA"/>
        </w:rPr>
        <w:t>.</w:t>
      </w:r>
      <w:r w:rsidR="00BB2DC3">
        <w:rPr>
          <w:rFonts w:ascii="Arial" w:eastAsia="Arial" w:hAnsi="Arial" w:cs="Arial"/>
          <w:i/>
          <w:iCs/>
          <w:color w:val="666666"/>
          <w:sz w:val="17"/>
          <w:szCs w:val="17"/>
          <w:lang w:val="en-CA"/>
        </w:rPr>
        <w:t xml:space="preserve"> </w:t>
      </w:r>
      <w:r w:rsidRPr="00974DCA">
        <w:rPr>
          <w:rFonts w:ascii="Arial" w:eastAsia="Arial" w:hAnsi="Arial" w:cs="Arial"/>
          <w:i/>
          <w:iCs/>
          <w:color w:val="666666"/>
          <w:sz w:val="17"/>
          <w:szCs w:val="17"/>
          <w:lang w:val="en-CA"/>
        </w:rPr>
        <w:t>Source: Interview data, IPS analysis.</w:t>
      </w:r>
    </w:p>
    <w:p w14:paraId="2E214B74" w14:textId="1CA4AE2E" w:rsidR="00763423" w:rsidRDefault="00763423" w:rsidP="00763423">
      <w:pPr>
        <w:pStyle w:val="Heading3"/>
      </w:pPr>
      <w:bookmarkStart w:id="21" w:name="_Toc227618157"/>
      <w:r>
        <w:t>3.2 Return Objectives</w:t>
      </w:r>
      <w:bookmarkEnd w:id="21"/>
    </w:p>
    <w:p w14:paraId="6E534079" w14:textId="6E3B4E0F" w:rsidR="00AF21E6" w:rsidRDefault="00763423" w:rsidP="00AF21E6">
      <w:pPr>
        <w:rPr>
          <w:lang w:val="en-CA"/>
        </w:rPr>
      </w:pPr>
      <w:r w:rsidRPr="00974DCA">
        <w:rPr>
          <w:b/>
          <w:bCs/>
          <w:lang w:val="en-CA"/>
        </w:rPr>
        <w:t>Primary Objective:</w:t>
      </w:r>
      <w:r>
        <w:rPr>
          <w:lang w:val="en-CA"/>
        </w:rPr>
        <w:t xml:space="preserve"> Long-term Capital Appreciation. Income generation is a secondary consideration given the Client</w:t>
      </w:r>
      <w:r w:rsidRPr="00763423">
        <w:rPr>
          <w:lang w:val="en-CA"/>
        </w:rPr>
        <w:t xml:space="preserve">’s </w:t>
      </w:r>
      <w:r>
        <w:rPr>
          <w:lang w:val="en-CA"/>
        </w:rPr>
        <w:t>30-year horizon.</w:t>
      </w:r>
      <w:r w:rsidR="00A3461F">
        <w:rPr>
          <w:lang w:val="en-CA"/>
        </w:rPr>
        <w:t xml:space="preserve"> The consideration of exclusively investing into energy transition companies stems from the specific instruction of the client.</w:t>
      </w:r>
    </w:p>
    <w:p w14:paraId="6BC3CAE9" w14:textId="50051674" w:rsidR="0057571E" w:rsidRPr="00AF3D95" w:rsidRDefault="0057571E" w:rsidP="00AF21E6">
      <w:pPr>
        <w:rPr>
          <w:lang w:val="en-CA"/>
        </w:rPr>
      </w:pPr>
      <w:r w:rsidRPr="00974DCA">
        <w:rPr>
          <w:b/>
          <w:bCs/>
          <w:lang w:val="en-CA"/>
        </w:rPr>
        <w:t>Quantitative Target:</w:t>
      </w:r>
      <w:r>
        <w:rPr>
          <w:lang w:val="en-CA"/>
        </w:rPr>
        <w:t xml:space="preserve"> Net annualised total return 8%-11% over rolling 5-year periods. This range is calibrated to the weighted blended return assumption of the 2026 tactical allocation described in section 4.</w:t>
      </w:r>
    </w:p>
    <w:p w14:paraId="0DFBB803" w14:textId="35D1CA55" w:rsidR="00763423" w:rsidRDefault="00940208" w:rsidP="00940208">
      <w:pPr>
        <w:pStyle w:val="Heading3"/>
      </w:pPr>
      <w:bookmarkStart w:id="22" w:name="_Toc227618158"/>
      <w:r>
        <w:t>3.3 Risk Tolerance Analysis</w:t>
      </w:r>
      <w:bookmarkEnd w:id="22"/>
    </w:p>
    <w:p w14:paraId="20B8F789" w14:textId="0EF18A3F" w:rsidR="00940208" w:rsidRDefault="00940208" w:rsidP="00940208">
      <w:pPr>
        <w:rPr>
          <w:lang w:val="en-CA"/>
        </w:rPr>
      </w:pPr>
      <w:r>
        <w:rPr>
          <w:lang w:val="en-CA"/>
        </w:rPr>
        <w:t xml:space="preserve">Risk tolerance is evaluated along two independent dimensions per the CFA </w:t>
      </w:r>
      <w:r w:rsidR="00AA467D">
        <w:rPr>
          <w:lang w:val="en-CA"/>
        </w:rPr>
        <w:t>Institute</w:t>
      </w:r>
      <w:r>
        <w:rPr>
          <w:lang w:val="en-CA"/>
        </w:rPr>
        <w:t xml:space="preserve"> Framework: the objective capacity to bear risk (quantitative assessment of wealth, income, and horizon) and the subjective willingness to take risk (behavioural assessment via investor profiling frameworks). Both dimensions must be explicitly documented and reconciled before a risk classification is assigned. </w:t>
      </w:r>
    </w:p>
    <w:p w14:paraId="1A24D42A" w14:textId="77777777" w:rsidR="007A27CE" w:rsidRDefault="007A27CE" w:rsidP="00940208">
      <w:pPr>
        <w:rPr>
          <w:lang w:val="en-C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700"/>
        <w:gridCol w:w="5060"/>
      </w:tblGrid>
      <w:tr w:rsidR="00A3461F" w14:paraId="5D4120C7" w14:textId="77777777" w:rsidTr="005058ED">
        <w:trPr>
          <w:jc w:val="center"/>
        </w:trPr>
        <w:tc>
          <w:tcPr>
            <w:tcW w:w="2600" w:type="dxa"/>
            <w:shd w:val="clear" w:color="auto" w:fill="2E5596"/>
            <w:tcMar>
              <w:top w:w="100" w:type="dxa"/>
              <w:left w:w="130" w:type="dxa"/>
              <w:bottom w:w="100" w:type="dxa"/>
              <w:right w:w="130" w:type="dxa"/>
            </w:tcMar>
            <w:vAlign w:val="center"/>
          </w:tcPr>
          <w:p w14:paraId="384B5309" w14:textId="77777777" w:rsidR="00940208" w:rsidRDefault="00940208">
            <w:pPr>
              <w:jc w:val="center"/>
            </w:pPr>
            <w:r>
              <w:rPr>
                <w:rFonts w:ascii="Arial" w:eastAsia="Arial" w:hAnsi="Arial" w:cs="Arial"/>
                <w:b/>
                <w:bCs/>
                <w:color w:val="FFFFFF"/>
                <w:sz w:val="18"/>
                <w:szCs w:val="18"/>
              </w:rPr>
              <w:t>Risk Dimension</w:t>
            </w:r>
          </w:p>
        </w:tc>
        <w:tc>
          <w:tcPr>
            <w:tcW w:w="1700" w:type="dxa"/>
            <w:shd w:val="clear" w:color="auto" w:fill="2E5596"/>
            <w:tcMar>
              <w:top w:w="100" w:type="dxa"/>
              <w:left w:w="130" w:type="dxa"/>
              <w:bottom w:w="100" w:type="dxa"/>
              <w:right w:w="130" w:type="dxa"/>
            </w:tcMar>
            <w:vAlign w:val="center"/>
          </w:tcPr>
          <w:p w14:paraId="3CBD607A" w14:textId="77777777" w:rsidR="00940208" w:rsidRDefault="00940208">
            <w:pPr>
              <w:jc w:val="center"/>
            </w:pPr>
            <w:r>
              <w:rPr>
                <w:rFonts w:ascii="Arial" w:eastAsia="Arial" w:hAnsi="Arial" w:cs="Arial"/>
                <w:b/>
                <w:bCs/>
                <w:color w:val="FFFFFF"/>
                <w:sz w:val="18"/>
                <w:szCs w:val="18"/>
              </w:rPr>
              <w:t>Rating</w:t>
            </w:r>
          </w:p>
        </w:tc>
        <w:tc>
          <w:tcPr>
            <w:tcW w:w="5060" w:type="dxa"/>
            <w:shd w:val="clear" w:color="auto" w:fill="2E5596"/>
            <w:tcMar>
              <w:top w:w="100" w:type="dxa"/>
              <w:left w:w="130" w:type="dxa"/>
              <w:bottom w:w="100" w:type="dxa"/>
              <w:right w:w="130" w:type="dxa"/>
            </w:tcMar>
            <w:vAlign w:val="center"/>
          </w:tcPr>
          <w:p w14:paraId="482B0ADA" w14:textId="77777777" w:rsidR="00940208" w:rsidRDefault="00940208">
            <w:pPr>
              <w:jc w:val="center"/>
            </w:pPr>
            <w:proofErr w:type="spellStart"/>
            <w:r>
              <w:rPr>
                <w:rFonts w:ascii="Arial" w:eastAsia="Arial" w:hAnsi="Arial" w:cs="Arial"/>
                <w:b/>
                <w:bCs/>
                <w:color w:val="FFFFFF"/>
                <w:sz w:val="18"/>
                <w:szCs w:val="18"/>
              </w:rPr>
              <w:t>Rationale</w:t>
            </w:r>
            <w:proofErr w:type="spellEnd"/>
            <w:r>
              <w:rPr>
                <w:rFonts w:ascii="Arial" w:eastAsia="Arial" w:hAnsi="Arial" w:cs="Arial"/>
                <w:b/>
                <w:bCs/>
                <w:color w:val="FFFFFF"/>
                <w:sz w:val="18"/>
                <w:szCs w:val="18"/>
              </w:rPr>
              <w:t xml:space="preserve"> &amp; </w:t>
            </w:r>
            <w:proofErr w:type="spellStart"/>
            <w:r>
              <w:rPr>
                <w:rFonts w:ascii="Arial" w:eastAsia="Arial" w:hAnsi="Arial" w:cs="Arial"/>
                <w:b/>
                <w:bCs/>
                <w:color w:val="FFFFFF"/>
                <w:sz w:val="18"/>
                <w:szCs w:val="18"/>
              </w:rPr>
              <w:t>Evidence</w:t>
            </w:r>
            <w:proofErr w:type="spellEnd"/>
          </w:p>
        </w:tc>
      </w:tr>
      <w:tr w:rsidR="00A3461F" w14:paraId="7DF60DD6" w14:textId="77777777" w:rsidTr="005058ED">
        <w:trPr>
          <w:jc w:val="center"/>
        </w:trPr>
        <w:tc>
          <w:tcPr>
            <w:tcW w:w="2600" w:type="dxa"/>
            <w:shd w:val="clear" w:color="auto" w:fill="F5F8FC"/>
            <w:tcMar>
              <w:top w:w="80" w:type="dxa"/>
              <w:left w:w="130" w:type="dxa"/>
              <w:bottom w:w="80" w:type="dxa"/>
              <w:right w:w="130" w:type="dxa"/>
            </w:tcMar>
            <w:vAlign w:val="center"/>
          </w:tcPr>
          <w:p w14:paraId="21B07F62" w14:textId="77777777" w:rsidR="00940208" w:rsidRDefault="00940208">
            <w:r>
              <w:rPr>
                <w:rFonts w:ascii="Arial" w:eastAsia="Arial" w:hAnsi="Arial" w:cs="Arial"/>
                <w:b/>
                <w:bCs/>
                <w:color w:val="2C2C2C"/>
                <w:sz w:val="19"/>
                <w:szCs w:val="19"/>
              </w:rPr>
              <w:t xml:space="preserve">Objective </w:t>
            </w:r>
            <w:proofErr w:type="spellStart"/>
            <w:r>
              <w:rPr>
                <w:rFonts w:ascii="Arial" w:eastAsia="Arial" w:hAnsi="Arial" w:cs="Arial"/>
                <w:b/>
                <w:bCs/>
                <w:color w:val="2C2C2C"/>
                <w:sz w:val="19"/>
                <w:szCs w:val="19"/>
              </w:rPr>
              <w:t>Ability</w:t>
            </w:r>
            <w:proofErr w:type="spellEnd"/>
          </w:p>
        </w:tc>
        <w:tc>
          <w:tcPr>
            <w:tcW w:w="1700" w:type="dxa"/>
            <w:shd w:val="clear" w:color="auto" w:fill="F5F8FC"/>
            <w:tcMar>
              <w:top w:w="80" w:type="dxa"/>
              <w:left w:w="130" w:type="dxa"/>
              <w:bottom w:w="80" w:type="dxa"/>
              <w:right w:w="130" w:type="dxa"/>
            </w:tcMar>
            <w:vAlign w:val="center"/>
          </w:tcPr>
          <w:p w14:paraId="0B13A5ED" w14:textId="77777777" w:rsidR="00940208" w:rsidRDefault="00940208">
            <w:pPr>
              <w:jc w:val="center"/>
            </w:pPr>
            <w:r>
              <w:rPr>
                <w:rFonts w:ascii="Arial" w:eastAsia="Arial" w:hAnsi="Arial" w:cs="Arial"/>
                <w:color w:val="1A6B3A"/>
                <w:sz w:val="19"/>
                <w:szCs w:val="19"/>
              </w:rPr>
              <w:t>HIGH</w:t>
            </w:r>
          </w:p>
        </w:tc>
        <w:tc>
          <w:tcPr>
            <w:tcW w:w="5060" w:type="dxa"/>
            <w:shd w:val="clear" w:color="auto" w:fill="F5F8FC"/>
            <w:tcMar>
              <w:top w:w="80" w:type="dxa"/>
              <w:left w:w="130" w:type="dxa"/>
              <w:bottom w:w="80" w:type="dxa"/>
              <w:right w:w="130" w:type="dxa"/>
            </w:tcMar>
            <w:vAlign w:val="center"/>
          </w:tcPr>
          <w:p w14:paraId="0BD127FA" w14:textId="619990F1" w:rsidR="00940208" w:rsidRPr="00940208" w:rsidRDefault="00A03C0F">
            <w:pPr>
              <w:rPr>
                <w:lang w:val="en-CA"/>
              </w:rPr>
            </w:pPr>
            <w:r>
              <w:rPr>
                <w:rFonts w:ascii="Arial" w:eastAsia="Arial" w:hAnsi="Arial" w:cs="Arial"/>
                <w:color w:val="2C2C2C"/>
                <w:sz w:val="19"/>
                <w:szCs w:val="19"/>
                <w:lang w:val="en-CA"/>
              </w:rPr>
              <w:t>G</w:t>
            </w:r>
            <w:r w:rsidR="00940208" w:rsidRPr="00940208">
              <w:rPr>
                <w:rFonts w:ascii="Arial" w:eastAsia="Arial" w:hAnsi="Arial" w:cs="Arial"/>
                <w:color w:val="2C2C2C"/>
                <w:sz w:val="19"/>
                <w:szCs w:val="19"/>
                <w:lang w:val="en-CA"/>
              </w:rPr>
              <w:t>ross investable liquid assets ~$</w:t>
            </w:r>
            <w:r w:rsidR="00A3461F">
              <w:rPr>
                <w:rFonts w:ascii="Arial" w:eastAsia="Arial" w:hAnsi="Arial" w:cs="Arial"/>
                <w:color w:val="2C2C2C"/>
                <w:sz w:val="19"/>
                <w:szCs w:val="19"/>
                <w:lang w:val="en-CA"/>
              </w:rPr>
              <w:t>81</w:t>
            </w:r>
            <w:r w:rsidR="00940208" w:rsidRPr="00940208">
              <w:rPr>
                <w:rFonts w:ascii="Arial" w:eastAsia="Arial" w:hAnsi="Arial" w:cs="Arial"/>
                <w:color w:val="2C2C2C"/>
                <w:sz w:val="19"/>
                <w:szCs w:val="19"/>
                <w:lang w:val="en-CA"/>
              </w:rPr>
              <w:t>k (excl. real estate). Salaries fully adequate to sustain lifestyle without drawing on portfolio. $186k net real estate equity provides additional wealth buffer. 30-year horizon enables full market-cycle recovery.</w:t>
            </w:r>
          </w:p>
        </w:tc>
      </w:tr>
      <w:tr w:rsidR="00A3461F" w14:paraId="6B4CDE2E" w14:textId="77777777" w:rsidTr="005058ED">
        <w:trPr>
          <w:jc w:val="center"/>
        </w:trPr>
        <w:tc>
          <w:tcPr>
            <w:tcW w:w="2600" w:type="dxa"/>
            <w:tcMar>
              <w:top w:w="80" w:type="dxa"/>
              <w:left w:w="130" w:type="dxa"/>
              <w:bottom w:w="80" w:type="dxa"/>
              <w:right w:w="130" w:type="dxa"/>
            </w:tcMar>
            <w:vAlign w:val="center"/>
          </w:tcPr>
          <w:p w14:paraId="3A7BA02B" w14:textId="77777777" w:rsidR="00940208" w:rsidRDefault="00940208">
            <w:r>
              <w:rPr>
                <w:rFonts w:ascii="Arial" w:eastAsia="Arial" w:hAnsi="Arial" w:cs="Arial"/>
                <w:b/>
                <w:bCs/>
                <w:color w:val="2C2C2C"/>
                <w:sz w:val="19"/>
                <w:szCs w:val="19"/>
              </w:rPr>
              <w:t xml:space="preserve">Subjective </w:t>
            </w:r>
            <w:proofErr w:type="spellStart"/>
            <w:r>
              <w:rPr>
                <w:rFonts w:ascii="Arial" w:eastAsia="Arial" w:hAnsi="Arial" w:cs="Arial"/>
                <w:b/>
                <w:bCs/>
                <w:color w:val="2C2C2C"/>
                <w:sz w:val="19"/>
                <w:szCs w:val="19"/>
              </w:rPr>
              <w:t>Willingness</w:t>
            </w:r>
            <w:proofErr w:type="spellEnd"/>
          </w:p>
        </w:tc>
        <w:tc>
          <w:tcPr>
            <w:tcW w:w="1700" w:type="dxa"/>
            <w:tcMar>
              <w:top w:w="80" w:type="dxa"/>
              <w:left w:w="130" w:type="dxa"/>
              <w:bottom w:w="80" w:type="dxa"/>
              <w:right w:w="130" w:type="dxa"/>
            </w:tcMar>
            <w:vAlign w:val="center"/>
          </w:tcPr>
          <w:p w14:paraId="33BC5CED" w14:textId="77777777" w:rsidR="00940208" w:rsidRDefault="00940208">
            <w:pPr>
              <w:jc w:val="center"/>
            </w:pPr>
            <w:r>
              <w:rPr>
                <w:rFonts w:ascii="Arial" w:eastAsia="Arial" w:hAnsi="Arial" w:cs="Arial"/>
                <w:color w:val="1A6B3A"/>
                <w:sz w:val="19"/>
                <w:szCs w:val="19"/>
              </w:rPr>
              <w:t>HIGH</w:t>
            </w:r>
          </w:p>
        </w:tc>
        <w:tc>
          <w:tcPr>
            <w:tcW w:w="5060" w:type="dxa"/>
            <w:tcMar>
              <w:top w:w="80" w:type="dxa"/>
              <w:left w:w="130" w:type="dxa"/>
              <w:bottom w:w="80" w:type="dxa"/>
              <w:right w:w="130" w:type="dxa"/>
            </w:tcMar>
            <w:vAlign w:val="center"/>
          </w:tcPr>
          <w:p w14:paraId="5C45B8A0" w14:textId="5B5A6702" w:rsidR="00940208" w:rsidRPr="00940208" w:rsidRDefault="00A03C0F">
            <w:pPr>
              <w:rPr>
                <w:lang w:val="en-CA"/>
              </w:rPr>
            </w:pPr>
            <w:r>
              <w:rPr>
                <w:rFonts w:ascii="Arial" w:eastAsia="Arial" w:hAnsi="Arial" w:cs="Arial"/>
                <w:color w:val="2C2C2C"/>
                <w:sz w:val="19"/>
                <w:szCs w:val="19"/>
                <w:lang w:val="en-CA"/>
              </w:rPr>
              <w:t>C</w:t>
            </w:r>
            <w:r w:rsidR="00940208" w:rsidRPr="00940208">
              <w:rPr>
                <w:rFonts w:ascii="Arial" w:eastAsia="Arial" w:hAnsi="Arial" w:cs="Arial"/>
                <w:color w:val="2C2C2C"/>
                <w:sz w:val="19"/>
                <w:szCs w:val="19"/>
                <w:lang w:val="en-CA"/>
              </w:rPr>
              <w:t xml:space="preserve">lient explicitly </w:t>
            </w:r>
            <w:proofErr w:type="gramStart"/>
            <w:r w:rsidR="00940208" w:rsidRPr="00940208">
              <w:rPr>
                <w:rFonts w:ascii="Arial" w:eastAsia="Arial" w:hAnsi="Arial" w:cs="Arial"/>
                <w:color w:val="2C2C2C"/>
                <w:sz w:val="19"/>
                <w:szCs w:val="19"/>
                <w:lang w:val="en-CA"/>
              </w:rPr>
              <w:t>seek</w:t>
            </w:r>
            <w:proofErr w:type="gramEnd"/>
            <w:r w:rsidR="00940208" w:rsidRPr="00940208">
              <w:rPr>
                <w:rFonts w:ascii="Arial" w:eastAsia="Arial" w:hAnsi="Arial" w:cs="Arial"/>
                <w:color w:val="2C2C2C"/>
                <w:sz w:val="19"/>
                <w:szCs w:val="19"/>
                <w:lang w:val="en-CA"/>
              </w:rPr>
              <w:t xml:space="preserve"> capital appreciation; comfort with equity-dominant portfolio. BBK Individualist classification — rational risk-taking, not impulsive. CFA Net Saver — focuses on long-run wealth accumulation.</w:t>
            </w:r>
          </w:p>
        </w:tc>
      </w:tr>
      <w:tr w:rsidR="00A3461F" w14:paraId="037147FD" w14:textId="77777777" w:rsidTr="005058ED">
        <w:trPr>
          <w:jc w:val="center"/>
        </w:trPr>
        <w:tc>
          <w:tcPr>
            <w:tcW w:w="2600" w:type="dxa"/>
            <w:shd w:val="clear" w:color="auto" w:fill="F5F8FC"/>
            <w:tcMar>
              <w:top w:w="80" w:type="dxa"/>
              <w:left w:w="130" w:type="dxa"/>
              <w:bottom w:w="80" w:type="dxa"/>
              <w:right w:w="130" w:type="dxa"/>
            </w:tcMar>
            <w:vAlign w:val="center"/>
          </w:tcPr>
          <w:p w14:paraId="273CBD92" w14:textId="77777777" w:rsidR="00940208" w:rsidRDefault="00940208">
            <w:r>
              <w:rPr>
                <w:rFonts w:ascii="Arial" w:eastAsia="Arial" w:hAnsi="Arial" w:cs="Arial"/>
                <w:b/>
                <w:bCs/>
                <w:color w:val="2C2C2C"/>
                <w:sz w:val="19"/>
                <w:szCs w:val="19"/>
              </w:rPr>
              <w:t xml:space="preserve">Overall Risk </w:t>
            </w:r>
            <w:proofErr w:type="spellStart"/>
            <w:r>
              <w:rPr>
                <w:rFonts w:ascii="Arial" w:eastAsia="Arial" w:hAnsi="Arial" w:cs="Arial"/>
                <w:b/>
                <w:bCs/>
                <w:color w:val="2C2C2C"/>
                <w:sz w:val="19"/>
                <w:szCs w:val="19"/>
              </w:rPr>
              <w:t>Tolerance</w:t>
            </w:r>
            <w:proofErr w:type="spellEnd"/>
          </w:p>
        </w:tc>
        <w:tc>
          <w:tcPr>
            <w:tcW w:w="1700" w:type="dxa"/>
            <w:shd w:val="clear" w:color="auto" w:fill="F5F8FC"/>
            <w:tcMar>
              <w:top w:w="80" w:type="dxa"/>
              <w:left w:w="130" w:type="dxa"/>
              <w:bottom w:w="80" w:type="dxa"/>
              <w:right w:w="130" w:type="dxa"/>
            </w:tcMar>
            <w:vAlign w:val="center"/>
          </w:tcPr>
          <w:p w14:paraId="60414E72" w14:textId="77777777" w:rsidR="00940208" w:rsidRDefault="00940208">
            <w:pPr>
              <w:jc w:val="center"/>
            </w:pPr>
            <w:r>
              <w:rPr>
                <w:rFonts w:ascii="Arial" w:eastAsia="Arial" w:hAnsi="Arial" w:cs="Arial"/>
                <w:color w:val="1A6B3A"/>
                <w:sz w:val="19"/>
                <w:szCs w:val="19"/>
              </w:rPr>
              <w:t>HIGH</w:t>
            </w:r>
          </w:p>
        </w:tc>
        <w:tc>
          <w:tcPr>
            <w:tcW w:w="5060" w:type="dxa"/>
            <w:shd w:val="clear" w:color="auto" w:fill="F5F8FC"/>
            <w:tcMar>
              <w:top w:w="80" w:type="dxa"/>
              <w:left w:w="130" w:type="dxa"/>
              <w:bottom w:w="80" w:type="dxa"/>
              <w:right w:w="130" w:type="dxa"/>
            </w:tcMar>
            <w:vAlign w:val="center"/>
          </w:tcPr>
          <w:p w14:paraId="446B6566" w14:textId="77777777" w:rsidR="00940208" w:rsidRPr="00940208" w:rsidRDefault="00940208">
            <w:pPr>
              <w:rPr>
                <w:lang w:val="en-CA"/>
              </w:rPr>
            </w:pPr>
            <w:r w:rsidRPr="00940208">
              <w:rPr>
                <w:rFonts w:ascii="Arial" w:eastAsia="Arial" w:hAnsi="Arial" w:cs="Arial"/>
                <w:color w:val="2C2C2C"/>
                <w:sz w:val="19"/>
                <w:szCs w:val="19"/>
                <w:lang w:val="en-CA"/>
              </w:rPr>
              <w:t xml:space="preserve">Objective and subjective dimensions fully aligned. Portfolio is structured for growth-oriented mandate with </w:t>
            </w:r>
            <w:r w:rsidRPr="00940208">
              <w:rPr>
                <w:rFonts w:ascii="Arial" w:eastAsia="Arial" w:hAnsi="Arial" w:cs="Arial"/>
                <w:color w:val="2C2C2C"/>
                <w:sz w:val="19"/>
                <w:szCs w:val="19"/>
                <w:lang w:val="en-CA"/>
              </w:rPr>
              <w:lastRenderedPageBreak/>
              <w:t xml:space="preserve">documented downside guardrails (max drawdown policy, </w:t>
            </w:r>
            <w:proofErr w:type="spellStart"/>
            <w:r w:rsidRPr="00940208">
              <w:rPr>
                <w:rFonts w:ascii="Arial" w:eastAsia="Arial" w:hAnsi="Arial" w:cs="Arial"/>
                <w:color w:val="2C2C2C"/>
                <w:sz w:val="19"/>
                <w:szCs w:val="19"/>
                <w:lang w:val="en-CA"/>
              </w:rPr>
              <w:t>VaR</w:t>
            </w:r>
            <w:proofErr w:type="spellEnd"/>
            <w:r w:rsidRPr="00940208">
              <w:rPr>
                <w:rFonts w:ascii="Arial" w:eastAsia="Arial" w:hAnsi="Arial" w:cs="Arial"/>
                <w:color w:val="2C2C2C"/>
                <w:sz w:val="19"/>
                <w:szCs w:val="19"/>
                <w:lang w:val="en-CA"/>
              </w:rPr>
              <w:t xml:space="preserve"> limits).</w:t>
            </w:r>
          </w:p>
        </w:tc>
      </w:tr>
      <w:tr w:rsidR="00A3461F" w:rsidRPr="00A3461F" w14:paraId="4FFA1AAF" w14:textId="77777777" w:rsidTr="005058ED">
        <w:trPr>
          <w:jc w:val="center"/>
        </w:trPr>
        <w:tc>
          <w:tcPr>
            <w:tcW w:w="2600" w:type="dxa"/>
            <w:tcMar>
              <w:top w:w="80" w:type="dxa"/>
              <w:left w:w="130" w:type="dxa"/>
              <w:bottom w:w="80" w:type="dxa"/>
              <w:right w:w="130" w:type="dxa"/>
            </w:tcMar>
            <w:vAlign w:val="center"/>
          </w:tcPr>
          <w:p w14:paraId="7CAD5D00" w14:textId="77777777" w:rsidR="00940208" w:rsidRDefault="00940208">
            <w:proofErr w:type="spellStart"/>
            <w:r>
              <w:rPr>
                <w:rFonts w:ascii="Arial" w:eastAsia="Arial" w:hAnsi="Arial" w:cs="Arial"/>
                <w:b/>
                <w:bCs/>
                <w:color w:val="2C2C2C"/>
                <w:sz w:val="19"/>
                <w:szCs w:val="19"/>
              </w:rPr>
              <w:lastRenderedPageBreak/>
              <w:t>Liquidity</w:t>
            </w:r>
            <w:proofErr w:type="spellEnd"/>
            <w:r>
              <w:rPr>
                <w:rFonts w:ascii="Arial" w:eastAsia="Arial" w:hAnsi="Arial" w:cs="Arial"/>
                <w:b/>
                <w:bCs/>
                <w:color w:val="2C2C2C"/>
                <w:sz w:val="19"/>
                <w:szCs w:val="19"/>
              </w:rPr>
              <w:t xml:space="preserve"> Risk</w:t>
            </w:r>
          </w:p>
        </w:tc>
        <w:tc>
          <w:tcPr>
            <w:tcW w:w="1700" w:type="dxa"/>
            <w:tcMar>
              <w:top w:w="80" w:type="dxa"/>
              <w:left w:w="130" w:type="dxa"/>
              <w:bottom w:w="80" w:type="dxa"/>
              <w:right w:w="130" w:type="dxa"/>
            </w:tcMar>
            <w:vAlign w:val="center"/>
          </w:tcPr>
          <w:p w14:paraId="21D5C4DC" w14:textId="77777777" w:rsidR="00940208" w:rsidRDefault="00940208">
            <w:pPr>
              <w:jc w:val="center"/>
            </w:pPr>
            <w:r>
              <w:rPr>
                <w:rFonts w:ascii="Arial" w:eastAsia="Arial" w:hAnsi="Arial" w:cs="Arial"/>
                <w:color w:val="2E5596"/>
                <w:sz w:val="19"/>
                <w:szCs w:val="19"/>
              </w:rPr>
              <w:t>LOW</w:t>
            </w:r>
          </w:p>
        </w:tc>
        <w:tc>
          <w:tcPr>
            <w:tcW w:w="5060" w:type="dxa"/>
            <w:tcMar>
              <w:top w:w="80" w:type="dxa"/>
              <w:left w:w="130" w:type="dxa"/>
              <w:bottom w:w="80" w:type="dxa"/>
              <w:right w:w="130" w:type="dxa"/>
            </w:tcMar>
            <w:vAlign w:val="center"/>
          </w:tcPr>
          <w:p w14:paraId="20EDE924" w14:textId="1998E2CA" w:rsidR="00940208" w:rsidRPr="00A3461F" w:rsidRDefault="00940208">
            <w:pPr>
              <w:rPr>
                <w:lang w:val="en-CA"/>
              </w:rPr>
            </w:pPr>
            <w:r w:rsidRPr="00940208">
              <w:rPr>
                <w:rFonts w:ascii="Arial" w:eastAsia="Arial" w:hAnsi="Arial" w:cs="Arial"/>
                <w:color w:val="2C2C2C"/>
                <w:sz w:val="19"/>
                <w:szCs w:val="19"/>
                <w:lang w:val="en-CA"/>
              </w:rPr>
              <w:t>Salar</w:t>
            </w:r>
            <w:r w:rsidR="00A03C0F">
              <w:rPr>
                <w:rFonts w:ascii="Arial" w:eastAsia="Arial" w:hAnsi="Arial" w:cs="Arial"/>
                <w:color w:val="2C2C2C"/>
                <w:sz w:val="19"/>
                <w:szCs w:val="19"/>
                <w:lang w:val="en-CA"/>
              </w:rPr>
              <w:t>y</w:t>
            </w:r>
            <w:r w:rsidRPr="00940208">
              <w:rPr>
                <w:rFonts w:ascii="Arial" w:eastAsia="Arial" w:hAnsi="Arial" w:cs="Arial"/>
                <w:color w:val="2C2C2C"/>
                <w:sz w:val="19"/>
                <w:szCs w:val="19"/>
                <w:lang w:val="en-CA"/>
              </w:rPr>
              <w:t xml:space="preserve"> fully </w:t>
            </w:r>
            <w:proofErr w:type="gramStart"/>
            <w:r w:rsidRPr="00940208">
              <w:rPr>
                <w:rFonts w:ascii="Arial" w:eastAsia="Arial" w:hAnsi="Arial" w:cs="Arial"/>
                <w:color w:val="2C2C2C"/>
                <w:sz w:val="19"/>
                <w:szCs w:val="19"/>
                <w:lang w:val="en-CA"/>
              </w:rPr>
              <w:t>cover</w:t>
            </w:r>
            <w:proofErr w:type="gramEnd"/>
            <w:r w:rsidRPr="00940208">
              <w:rPr>
                <w:rFonts w:ascii="Arial" w:eastAsia="Arial" w:hAnsi="Arial" w:cs="Arial"/>
                <w:color w:val="2C2C2C"/>
                <w:sz w:val="19"/>
                <w:szCs w:val="19"/>
                <w:lang w:val="en-CA"/>
              </w:rPr>
              <w:t xml:space="preserve"> expenses. </w:t>
            </w:r>
            <w:r w:rsidRPr="00A3461F">
              <w:rPr>
                <w:rFonts w:ascii="Arial" w:eastAsia="Arial" w:hAnsi="Arial" w:cs="Arial"/>
                <w:color w:val="2C2C2C"/>
                <w:sz w:val="19"/>
                <w:szCs w:val="19"/>
                <w:lang w:val="en-CA"/>
              </w:rPr>
              <w:t>No near-term large expenditure obligations beyond existing mortgage.</w:t>
            </w:r>
          </w:p>
        </w:tc>
      </w:tr>
      <w:tr w:rsidR="00A3461F" w14:paraId="1F0F5E62" w14:textId="77777777" w:rsidTr="005058ED">
        <w:trPr>
          <w:jc w:val="center"/>
        </w:trPr>
        <w:tc>
          <w:tcPr>
            <w:tcW w:w="2600" w:type="dxa"/>
            <w:shd w:val="clear" w:color="auto" w:fill="F5F8FC"/>
            <w:tcMar>
              <w:top w:w="80" w:type="dxa"/>
              <w:left w:w="130" w:type="dxa"/>
              <w:bottom w:w="80" w:type="dxa"/>
              <w:right w:w="130" w:type="dxa"/>
            </w:tcMar>
            <w:vAlign w:val="center"/>
          </w:tcPr>
          <w:p w14:paraId="796307BE" w14:textId="77777777" w:rsidR="00940208" w:rsidRDefault="00940208">
            <w:r>
              <w:rPr>
                <w:rFonts w:ascii="Arial" w:eastAsia="Arial" w:hAnsi="Arial" w:cs="Arial"/>
                <w:b/>
                <w:bCs/>
                <w:color w:val="2C2C2C"/>
                <w:sz w:val="19"/>
                <w:szCs w:val="19"/>
              </w:rPr>
              <w:t>Horizon Risk</w:t>
            </w:r>
          </w:p>
        </w:tc>
        <w:tc>
          <w:tcPr>
            <w:tcW w:w="1700" w:type="dxa"/>
            <w:shd w:val="clear" w:color="auto" w:fill="F5F8FC"/>
            <w:tcMar>
              <w:top w:w="80" w:type="dxa"/>
              <w:left w:w="130" w:type="dxa"/>
              <w:bottom w:w="80" w:type="dxa"/>
              <w:right w:w="130" w:type="dxa"/>
            </w:tcMar>
            <w:vAlign w:val="center"/>
          </w:tcPr>
          <w:p w14:paraId="672D02F3" w14:textId="77777777" w:rsidR="00940208" w:rsidRDefault="00940208">
            <w:pPr>
              <w:jc w:val="center"/>
            </w:pPr>
            <w:r>
              <w:rPr>
                <w:rFonts w:ascii="Arial" w:eastAsia="Arial" w:hAnsi="Arial" w:cs="Arial"/>
                <w:color w:val="2E5596"/>
                <w:sz w:val="19"/>
                <w:szCs w:val="19"/>
              </w:rPr>
              <w:t>LOW</w:t>
            </w:r>
          </w:p>
        </w:tc>
        <w:tc>
          <w:tcPr>
            <w:tcW w:w="5060" w:type="dxa"/>
            <w:shd w:val="clear" w:color="auto" w:fill="F5F8FC"/>
            <w:tcMar>
              <w:top w:w="80" w:type="dxa"/>
              <w:left w:w="130" w:type="dxa"/>
              <w:bottom w:w="80" w:type="dxa"/>
              <w:right w:w="130" w:type="dxa"/>
            </w:tcMar>
            <w:vAlign w:val="center"/>
          </w:tcPr>
          <w:p w14:paraId="44D718F1" w14:textId="77777777" w:rsidR="00940208" w:rsidRPr="00940208" w:rsidRDefault="00940208">
            <w:pPr>
              <w:rPr>
                <w:lang w:val="en-CA"/>
              </w:rPr>
            </w:pPr>
            <w:r w:rsidRPr="00940208">
              <w:rPr>
                <w:rFonts w:ascii="Arial" w:eastAsia="Arial" w:hAnsi="Arial" w:cs="Arial"/>
                <w:color w:val="2C2C2C"/>
                <w:sz w:val="19"/>
                <w:szCs w:val="19"/>
                <w:lang w:val="en-CA"/>
              </w:rPr>
              <w:t>~30-year investment horizon means short-term volatility is tolerable. Time diversification supports equity overweight without undue sequence-of-returns risk.</w:t>
            </w:r>
          </w:p>
        </w:tc>
      </w:tr>
      <w:tr w:rsidR="00A3461F" w14:paraId="668CA380" w14:textId="77777777" w:rsidTr="005058ED">
        <w:trPr>
          <w:jc w:val="center"/>
        </w:trPr>
        <w:tc>
          <w:tcPr>
            <w:tcW w:w="2600" w:type="dxa"/>
            <w:tcMar>
              <w:top w:w="80" w:type="dxa"/>
              <w:left w:w="130" w:type="dxa"/>
              <w:bottom w:w="80" w:type="dxa"/>
              <w:right w:w="130" w:type="dxa"/>
            </w:tcMar>
            <w:vAlign w:val="center"/>
          </w:tcPr>
          <w:p w14:paraId="01184D4A" w14:textId="77777777" w:rsidR="00940208" w:rsidRDefault="00940208">
            <w:r>
              <w:rPr>
                <w:rFonts w:ascii="Arial" w:eastAsia="Arial" w:hAnsi="Arial" w:cs="Arial"/>
                <w:b/>
                <w:bCs/>
                <w:color w:val="2C2C2C"/>
                <w:sz w:val="19"/>
                <w:szCs w:val="19"/>
              </w:rPr>
              <w:t>Concentration Risk</w:t>
            </w:r>
          </w:p>
        </w:tc>
        <w:tc>
          <w:tcPr>
            <w:tcW w:w="1700" w:type="dxa"/>
            <w:tcMar>
              <w:top w:w="80" w:type="dxa"/>
              <w:left w:w="130" w:type="dxa"/>
              <w:bottom w:w="80" w:type="dxa"/>
              <w:right w:w="130" w:type="dxa"/>
            </w:tcMar>
            <w:vAlign w:val="center"/>
          </w:tcPr>
          <w:p w14:paraId="1C59CAC7" w14:textId="77777777" w:rsidR="00940208" w:rsidRDefault="00940208">
            <w:pPr>
              <w:jc w:val="center"/>
            </w:pPr>
            <w:r>
              <w:rPr>
                <w:rFonts w:ascii="Arial" w:eastAsia="Arial" w:hAnsi="Arial" w:cs="Arial"/>
                <w:color w:val="7B5800"/>
                <w:sz w:val="19"/>
                <w:szCs w:val="19"/>
              </w:rPr>
              <w:t>MODERATE</w:t>
            </w:r>
          </w:p>
        </w:tc>
        <w:tc>
          <w:tcPr>
            <w:tcW w:w="5060" w:type="dxa"/>
            <w:tcMar>
              <w:top w:w="80" w:type="dxa"/>
              <w:left w:w="130" w:type="dxa"/>
              <w:bottom w:w="80" w:type="dxa"/>
              <w:right w:w="130" w:type="dxa"/>
            </w:tcMar>
            <w:vAlign w:val="center"/>
          </w:tcPr>
          <w:p w14:paraId="3BC5054B" w14:textId="77777777" w:rsidR="00940208" w:rsidRPr="00940208" w:rsidRDefault="00940208">
            <w:pPr>
              <w:rPr>
                <w:lang w:val="en-CA"/>
              </w:rPr>
            </w:pPr>
            <w:r w:rsidRPr="00940208">
              <w:rPr>
                <w:rFonts w:ascii="Arial" w:eastAsia="Arial" w:hAnsi="Arial" w:cs="Arial"/>
                <w:color w:val="2C2C2C"/>
                <w:sz w:val="19"/>
                <w:szCs w:val="19"/>
                <w:lang w:val="en-CA"/>
              </w:rPr>
              <w:t>Currently concentrated: employer stock ($35k) represents ~23% of liquid investable assets — a significant single-security and employment-correlated risk. IPS mandates diversification into proposed SAA. Employer stock to be reduced below 5% single-security cap.</w:t>
            </w:r>
          </w:p>
        </w:tc>
      </w:tr>
      <w:tr w:rsidR="00A3461F" w14:paraId="2D39B812" w14:textId="77777777" w:rsidTr="005058ED">
        <w:trPr>
          <w:jc w:val="center"/>
        </w:trPr>
        <w:tc>
          <w:tcPr>
            <w:tcW w:w="2600" w:type="dxa"/>
            <w:shd w:val="clear" w:color="auto" w:fill="F5F8FC"/>
            <w:tcMar>
              <w:top w:w="80" w:type="dxa"/>
              <w:left w:w="130" w:type="dxa"/>
              <w:bottom w:w="80" w:type="dxa"/>
              <w:right w:w="130" w:type="dxa"/>
            </w:tcMar>
            <w:vAlign w:val="center"/>
          </w:tcPr>
          <w:p w14:paraId="219E2CA9" w14:textId="77777777" w:rsidR="00940208" w:rsidRDefault="00940208">
            <w:r>
              <w:rPr>
                <w:rFonts w:ascii="Arial" w:eastAsia="Arial" w:hAnsi="Arial" w:cs="Arial"/>
                <w:b/>
                <w:bCs/>
                <w:color w:val="2C2C2C"/>
                <w:sz w:val="19"/>
                <w:szCs w:val="19"/>
              </w:rPr>
              <w:t>Currency Risk</w:t>
            </w:r>
          </w:p>
        </w:tc>
        <w:tc>
          <w:tcPr>
            <w:tcW w:w="1700" w:type="dxa"/>
            <w:shd w:val="clear" w:color="auto" w:fill="F5F8FC"/>
            <w:tcMar>
              <w:top w:w="80" w:type="dxa"/>
              <w:left w:w="130" w:type="dxa"/>
              <w:bottom w:w="80" w:type="dxa"/>
              <w:right w:w="130" w:type="dxa"/>
            </w:tcMar>
            <w:vAlign w:val="center"/>
          </w:tcPr>
          <w:p w14:paraId="4C24087D" w14:textId="77777777" w:rsidR="00940208" w:rsidRDefault="00940208">
            <w:pPr>
              <w:jc w:val="center"/>
            </w:pPr>
            <w:r>
              <w:rPr>
                <w:rFonts w:ascii="Arial" w:eastAsia="Arial" w:hAnsi="Arial" w:cs="Arial"/>
                <w:color w:val="7B5800"/>
                <w:sz w:val="19"/>
                <w:szCs w:val="19"/>
              </w:rPr>
              <w:t>MODERATE</w:t>
            </w:r>
          </w:p>
        </w:tc>
        <w:tc>
          <w:tcPr>
            <w:tcW w:w="5060" w:type="dxa"/>
            <w:shd w:val="clear" w:color="auto" w:fill="F5F8FC"/>
            <w:tcMar>
              <w:top w:w="80" w:type="dxa"/>
              <w:left w:w="130" w:type="dxa"/>
              <w:bottom w:w="80" w:type="dxa"/>
              <w:right w:w="130" w:type="dxa"/>
            </w:tcMar>
            <w:vAlign w:val="center"/>
          </w:tcPr>
          <w:p w14:paraId="1D668CFD" w14:textId="01CC6705" w:rsidR="00940208" w:rsidRPr="00940208" w:rsidRDefault="00940208">
            <w:pPr>
              <w:rPr>
                <w:lang w:val="en-CA"/>
              </w:rPr>
            </w:pPr>
            <w:r w:rsidRPr="00940208">
              <w:rPr>
                <w:rFonts w:ascii="Arial" w:eastAsia="Arial" w:hAnsi="Arial" w:cs="Arial"/>
                <w:color w:val="2C2C2C"/>
                <w:sz w:val="19"/>
                <w:szCs w:val="19"/>
                <w:lang w:val="en-CA"/>
              </w:rPr>
              <w:t>U.S. and international equity allocations introduce CAD/USD</w:t>
            </w:r>
            <w:r w:rsidR="00A3461F">
              <w:rPr>
                <w:rFonts w:ascii="Arial" w:eastAsia="Arial" w:hAnsi="Arial" w:cs="Arial"/>
                <w:color w:val="2C2C2C"/>
                <w:sz w:val="19"/>
                <w:szCs w:val="19"/>
                <w:lang w:val="en-CA"/>
              </w:rPr>
              <w:t xml:space="preserve"> </w:t>
            </w:r>
            <w:r w:rsidRPr="00940208">
              <w:rPr>
                <w:rFonts w:ascii="Arial" w:eastAsia="Arial" w:hAnsi="Arial" w:cs="Arial"/>
                <w:color w:val="2C2C2C"/>
                <w:sz w:val="19"/>
                <w:szCs w:val="19"/>
                <w:lang w:val="en-CA"/>
              </w:rPr>
              <w:t>exposure. Managed via 50% CAD-hedge on U.S. equity sleev</w:t>
            </w:r>
            <w:r w:rsidR="00A3461F">
              <w:rPr>
                <w:rFonts w:ascii="Arial" w:eastAsia="Arial" w:hAnsi="Arial" w:cs="Arial"/>
                <w:color w:val="2C2C2C"/>
                <w:sz w:val="19"/>
                <w:szCs w:val="19"/>
                <w:lang w:val="en-CA"/>
              </w:rPr>
              <w:t xml:space="preserve">e. </w:t>
            </w:r>
          </w:p>
        </w:tc>
      </w:tr>
      <w:tr w:rsidR="00A3461F" w14:paraId="24BB7A09" w14:textId="77777777" w:rsidTr="005058ED">
        <w:trPr>
          <w:jc w:val="center"/>
        </w:trPr>
        <w:tc>
          <w:tcPr>
            <w:tcW w:w="2600" w:type="dxa"/>
            <w:tcMar>
              <w:top w:w="80" w:type="dxa"/>
              <w:left w:w="130" w:type="dxa"/>
              <w:bottom w:w="80" w:type="dxa"/>
              <w:right w:w="130" w:type="dxa"/>
            </w:tcMar>
            <w:vAlign w:val="center"/>
          </w:tcPr>
          <w:p w14:paraId="3E48012A" w14:textId="77777777" w:rsidR="00940208" w:rsidRDefault="00940208">
            <w:r>
              <w:rPr>
                <w:rFonts w:ascii="Arial" w:eastAsia="Arial" w:hAnsi="Arial" w:cs="Arial"/>
                <w:b/>
                <w:bCs/>
                <w:color w:val="2C2C2C"/>
                <w:sz w:val="19"/>
                <w:szCs w:val="19"/>
              </w:rPr>
              <w:t>Tax Risk</w:t>
            </w:r>
          </w:p>
        </w:tc>
        <w:tc>
          <w:tcPr>
            <w:tcW w:w="1700" w:type="dxa"/>
            <w:tcMar>
              <w:top w:w="80" w:type="dxa"/>
              <w:left w:w="130" w:type="dxa"/>
              <w:bottom w:w="80" w:type="dxa"/>
              <w:right w:w="130" w:type="dxa"/>
            </w:tcMar>
            <w:vAlign w:val="center"/>
          </w:tcPr>
          <w:p w14:paraId="6B61786E" w14:textId="77777777" w:rsidR="00940208" w:rsidRDefault="00940208">
            <w:pPr>
              <w:jc w:val="center"/>
            </w:pPr>
            <w:r>
              <w:rPr>
                <w:rFonts w:ascii="Arial" w:eastAsia="Arial" w:hAnsi="Arial" w:cs="Arial"/>
                <w:color w:val="7B5800"/>
                <w:sz w:val="19"/>
                <w:szCs w:val="19"/>
              </w:rPr>
              <w:t>MODERATE</w:t>
            </w:r>
          </w:p>
        </w:tc>
        <w:tc>
          <w:tcPr>
            <w:tcW w:w="5060" w:type="dxa"/>
            <w:tcMar>
              <w:top w:w="80" w:type="dxa"/>
              <w:left w:w="130" w:type="dxa"/>
              <w:bottom w:w="80" w:type="dxa"/>
              <w:right w:w="130" w:type="dxa"/>
            </w:tcMar>
            <w:vAlign w:val="center"/>
          </w:tcPr>
          <w:p w14:paraId="15561271" w14:textId="77777777" w:rsidR="00940208" w:rsidRPr="00940208" w:rsidRDefault="00940208">
            <w:pPr>
              <w:rPr>
                <w:lang w:val="en-CA"/>
              </w:rPr>
            </w:pPr>
            <w:r w:rsidRPr="00940208">
              <w:rPr>
                <w:rFonts w:ascii="Arial" w:eastAsia="Arial" w:hAnsi="Arial" w:cs="Arial"/>
                <w:color w:val="2C2C2C"/>
                <w:sz w:val="19"/>
                <w:szCs w:val="19"/>
                <w:lang w:val="en-CA"/>
              </w:rPr>
              <w:t>Dividend income and capital gains taxed at Canadian marginal rates. TFSA/RRSP wrappers prioritised for high-income-generating assets. Tax-loss harvesting employed in taxable accounts.</w:t>
            </w:r>
          </w:p>
        </w:tc>
      </w:tr>
    </w:tbl>
    <w:p w14:paraId="4B5F3BC2" w14:textId="18F03D8B" w:rsidR="00940208" w:rsidRPr="00AF3D95" w:rsidRDefault="00940208" w:rsidP="00AF21E6">
      <w:pPr>
        <w:spacing w:before="30" w:after="100"/>
        <w:jc w:val="center"/>
        <w:rPr>
          <w:lang w:val="en-CA"/>
        </w:rPr>
      </w:pPr>
      <w:r w:rsidRPr="00940208">
        <w:rPr>
          <w:rFonts w:ascii="Arial" w:eastAsia="Arial" w:hAnsi="Arial" w:cs="Arial"/>
          <w:i/>
          <w:iCs/>
          <w:color w:val="666666"/>
          <w:sz w:val="17"/>
          <w:szCs w:val="17"/>
          <w:lang w:val="en-CA"/>
        </w:rPr>
        <w:t xml:space="preserve">Table 3.3 — Risk Tolerance Assessment Matrix. Colour-coded by severity: Green = Low risk constraint, Amber = Moderate, Blue = High risk capacity. </w:t>
      </w:r>
      <w:r w:rsidRPr="00AF3D95">
        <w:rPr>
          <w:rFonts w:ascii="Arial" w:eastAsia="Arial" w:hAnsi="Arial" w:cs="Arial"/>
          <w:i/>
          <w:iCs/>
          <w:color w:val="666666"/>
          <w:sz w:val="17"/>
          <w:szCs w:val="17"/>
          <w:lang w:val="en-CA"/>
        </w:rPr>
        <w:t>Source: IPS analysis.</w:t>
      </w:r>
    </w:p>
    <w:p w14:paraId="6BA1F404" w14:textId="5F70EBC8" w:rsidR="00AF21E6" w:rsidRDefault="00AF21E6" w:rsidP="00F53C2E">
      <w:pPr>
        <w:pStyle w:val="Heading3"/>
      </w:pPr>
      <w:bookmarkStart w:id="23" w:name="_Toc227618159"/>
      <w:r>
        <w:t>3.4 Investor Profiling Frameworks</w:t>
      </w:r>
      <w:bookmarkEnd w:id="23"/>
    </w:p>
    <w:p w14:paraId="306B7778" w14:textId="3BB14EB4" w:rsidR="00AF3D95" w:rsidRDefault="00AF3D95" w:rsidP="00AF3D95">
      <w:pPr>
        <w:pStyle w:val="Heading4"/>
      </w:pPr>
      <w:r>
        <w:t>3.4.1 Barnewall Two-Way Model (1987)</w:t>
      </w:r>
    </w:p>
    <w:p w14:paraId="58AB8E1B" w14:textId="7B59A01B" w:rsidR="00AF3D95" w:rsidRDefault="00AF3D95" w:rsidP="00AF3D95">
      <w:pPr>
        <w:rPr>
          <w:lang w:val="en-CA"/>
        </w:rPr>
      </w:pPr>
      <w:r>
        <w:rPr>
          <w:lang w:val="en-CA"/>
        </w:rPr>
        <w:t xml:space="preserve">The Barnewall model classifies investors as either Passive (Wealth inherited or received without risk-taking) or Active (accumulated wealth through entrepreneurship, career achievement, or calculated risk-taking). Mr. Minh-Tri Nguyen </w:t>
      </w:r>
      <w:r w:rsidR="00A3461F">
        <w:rPr>
          <w:lang w:val="en-CA"/>
        </w:rPr>
        <w:t>qualifies</w:t>
      </w:r>
      <w:r>
        <w:rPr>
          <w:lang w:val="en-CA"/>
        </w:rPr>
        <w:t xml:space="preserve"> as Active Investor: </w:t>
      </w:r>
      <w:r w:rsidR="00A3461F">
        <w:rPr>
          <w:lang w:val="en-CA"/>
        </w:rPr>
        <w:t>his</w:t>
      </w:r>
      <w:r>
        <w:rPr>
          <w:lang w:val="en-CA"/>
        </w:rPr>
        <w:t xml:space="preserve"> financial position has been built through career achievement, disciplined saving, and prior real estate appreciation. </w:t>
      </w:r>
      <w:r w:rsidR="00A3461F">
        <w:rPr>
          <w:lang w:val="en-CA"/>
        </w:rPr>
        <w:t>Client demonstrates</w:t>
      </w:r>
      <w:r>
        <w:rPr>
          <w:lang w:val="en-CA"/>
        </w:rPr>
        <w:t xml:space="preserve"> willingness to sacrifice current consumption for future capital growth, a hallmark of active investor behaviour (Barnewall, 1987).</w:t>
      </w:r>
    </w:p>
    <w:p w14:paraId="5542554B" w14:textId="2236B3DE" w:rsidR="00AF3D95" w:rsidRDefault="00AF3D95" w:rsidP="00AF3D95">
      <w:pPr>
        <w:rPr>
          <w:lang w:val="en-CA"/>
        </w:rPr>
      </w:pPr>
    </w:p>
    <w:p w14:paraId="1D5D15E1" w14:textId="1D3DC808" w:rsidR="00AF3D95" w:rsidRDefault="00AF3D95" w:rsidP="00AF3D95">
      <w:pPr>
        <w:rPr>
          <w:lang w:val="en-CA"/>
        </w:rPr>
      </w:pPr>
      <w:r>
        <w:rPr>
          <w:lang w:val="en-CA"/>
        </w:rPr>
        <w:t>Implication: An active management mandate with a growth orientation is fully consistent with this classification.</w:t>
      </w:r>
    </w:p>
    <w:p w14:paraId="4DB4A663" w14:textId="77777777" w:rsidR="00AF3D95" w:rsidRDefault="00AF3D95" w:rsidP="00AF3D95">
      <w:pPr>
        <w:rPr>
          <w:lang w:val="en-CA"/>
        </w:rPr>
      </w:pPr>
    </w:p>
    <w:p w14:paraId="4DCC0029" w14:textId="17897CDE" w:rsidR="00AF3D95" w:rsidRDefault="00AF3D95" w:rsidP="00AF3D95">
      <w:pPr>
        <w:pStyle w:val="Heading4"/>
      </w:pPr>
      <w:r>
        <w:t>3.4.2 Bailard, Biehl &amp; Kaiser (BBK) Model (1986)</w:t>
      </w:r>
    </w:p>
    <w:p w14:paraId="4DF906F3" w14:textId="03207AEF" w:rsidR="00AF3D95" w:rsidRDefault="00AF3D95" w:rsidP="00AF3D95">
      <w:pPr>
        <w:rPr>
          <w:lang w:val="en-CA"/>
        </w:rPr>
      </w:pPr>
      <w:r>
        <w:rPr>
          <w:lang w:val="en-CA"/>
        </w:rPr>
        <w:t xml:space="preserve">The BBK model classifies investors on two axes: Confident vs. Anxious (emotional dimension) </w:t>
      </w:r>
      <w:r w:rsidR="008C00E0">
        <w:rPr>
          <w:lang w:val="en-CA"/>
        </w:rPr>
        <w:t xml:space="preserve">and Careful vs. Impetuous (cognitive dimension). The resulting quadrants </w:t>
      </w:r>
      <w:proofErr w:type="gramStart"/>
      <w:r w:rsidR="008C00E0">
        <w:rPr>
          <w:lang w:val="en-CA"/>
        </w:rPr>
        <w:t>are:</w:t>
      </w:r>
      <w:proofErr w:type="gramEnd"/>
      <w:r w:rsidR="008C00E0">
        <w:rPr>
          <w:lang w:val="en-CA"/>
        </w:rPr>
        <w:t xml:space="preserve"> Individualist (Confident and Careful), Guardian (Anxious and Careful), Adventurer (Confident and Impetuous) and Celebrity (Anxious and Impetuous). </w:t>
      </w:r>
      <w:r w:rsidR="00A3461F">
        <w:rPr>
          <w:lang w:val="en-CA"/>
        </w:rPr>
        <w:t>C</w:t>
      </w:r>
      <w:r w:rsidR="008C00E0">
        <w:rPr>
          <w:lang w:val="en-CA"/>
        </w:rPr>
        <w:t xml:space="preserve">lient </w:t>
      </w:r>
      <w:r w:rsidR="00A3461F">
        <w:rPr>
          <w:lang w:val="en-CA"/>
        </w:rPr>
        <w:t xml:space="preserve">will be </w:t>
      </w:r>
      <w:r w:rsidR="008C00E0">
        <w:rPr>
          <w:lang w:val="en-CA"/>
        </w:rPr>
        <w:t xml:space="preserve">classified as Individualists – </w:t>
      </w:r>
      <w:r w:rsidR="00A3461F">
        <w:rPr>
          <w:lang w:val="en-CA"/>
        </w:rPr>
        <w:t>he</w:t>
      </w:r>
      <w:r w:rsidR="008C00E0">
        <w:rPr>
          <w:lang w:val="en-CA"/>
        </w:rPr>
        <w:t xml:space="preserve"> possess</w:t>
      </w:r>
      <w:r w:rsidR="00A3461F">
        <w:rPr>
          <w:lang w:val="en-CA"/>
        </w:rPr>
        <w:t>es</w:t>
      </w:r>
      <w:r w:rsidR="008C00E0">
        <w:rPr>
          <w:lang w:val="en-CA"/>
        </w:rPr>
        <w:t xml:space="preserve"> high financial literacy, seek professional advice to optimise decisions rather than acting on impulse, and </w:t>
      </w:r>
      <w:r w:rsidR="00A3461F">
        <w:rPr>
          <w:lang w:val="en-CA"/>
        </w:rPr>
        <w:t>seems</w:t>
      </w:r>
      <w:r w:rsidR="008C00E0">
        <w:rPr>
          <w:lang w:val="en-CA"/>
        </w:rPr>
        <w:t xml:space="preserve"> comfortable with calculated portfolio risk. This classification directly supports a research-driven active management approach where investment decisions are grounded in quantitative analysis and transparent rationale (BBK, 1986).</w:t>
      </w:r>
    </w:p>
    <w:p w14:paraId="371F3CA6" w14:textId="77777777" w:rsidR="0057571E" w:rsidRDefault="0057571E" w:rsidP="00AF3D95">
      <w:pPr>
        <w:rPr>
          <w:lang w:val="en-CA"/>
        </w:rPr>
      </w:pPr>
    </w:p>
    <w:p w14:paraId="773A42C1" w14:textId="0A93B293" w:rsidR="0057571E" w:rsidRDefault="0057571E" w:rsidP="0057571E">
      <w:pPr>
        <w:pStyle w:val="Heading4"/>
      </w:pPr>
      <w:r>
        <w:t>3.4.</w:t>
      </w:r>
      <w:r>
        <w:t>3</w:t>
      </w:r>
      <w:r>
        <w:t xml:space="preserve"> </w:t>
      </w:r>
      <w:r>
        <w:t>CFA Institute Investor Typology</w:t>
      </w:r>
    </w:p>
    <w:p w14:paraId="2846F861" w14:textId="24DE65A8" w:rsidR="0057571E" w:rsidRDefault="0057571E" w:rsidP="00AF3D95">
      <w:pPr>
        <w:rPr>
          <w:lang w:val="en-CA"/>
        </w:rPr>
      </w:pPr>
      <w:r>
        <w:rPr>
          <w:lang w:val="en-CA"/>
        </w:rPr>
        <w:t>Under the CFA Institute’s private wealth management framework, Client is classified as an Individualist Net Saver. Net Savers accumulate wealth beyond consumption needs, making them well-suited for long-horizon growth mandates. The Individualists bias means the Client responds well to evidence-based investment rationale and is receptive to formal risk management structures (CFA Institute, 2022).</w:t>
      </w:r>
    </w:p>
    <w:p w14:paraId="264BDEC4" w14:textId="27B6A4D6" w:rsidR="008C00E0" w:rsidRDefault="008C00E0" w:rsidP="008C00E0">
      <w:pPr>
        <w:pStyle w:val="Heading3"/>
      </w:pPr>
      <w:bookmarkStart w:id="24" w:name="_Toc227618160"/>
      <w:r>
        <w:lastRenderedPageBreak/>
        <w:t>3.5</w:t>
      </w:r>
      <w:r w:rsidR="0057571E">
        <w:t xml:space="preserve"> </w:t>
      </w:r>
      <w:r>
        <w:t>Investment Constraints Summary</w:t>
      </w:r>
      <w:bookmarkEnd w:id="24"/>
    </w:p>
    <w:p w14:paraId="620EE01E" w14:textId="08E70DE7" w:rsidR="008C00E0" w:rsidRDefault="008C00E0" w:rsidP="008C00E0">
      <w:pPr>
        <w:rPr>
          <w:lang w:val="en-CA"/>
        </w:rPr>
      </w:pPr>
      <w:r>
        <w:rPr>
          <w:b/>
          <w:bCs/>
          <w:lang w:val="en-CA"/>
        </w:rPr>
        <w:t xml:space="preserve">Investment Horizon: </w:t>
      </w:r>
      <w:r>
        <w:rPr>
          <w:lang w:val="en-CA"/>
        </w:rPr>
        <w:t>Approximately 30 years. The Clients are in their early-to-mid 30s and target retirement approximately age 65. This extended horizon is the single most important determinant of portfolio construction, justifying a structural overweight to growth assets.</w:t>
      </w:r>
    </w:p>
    <w:p w14:paraId="48E6D8BF" w14:textId="292E5A40" w:rsidR="008C00E0" w:rsidRDefault="008C00E0" w:rsidP="008C00E0">
      <w:pPr>
        <w:rPr>
          <w:lang w:val="en-CA"/>
        </w:rPr>
      </w:pPr>
      <w:r>
        <w:rPr>
          <w:b/>
          <w:bCs/>
          <w:lang w:val="en-CA"/>
        </w:rPr>
        <w:t xml:space="preserve">Liquidity Needs: </w:t>
      </w:r>
      <w:r>
        <w:rPr>
          <w:lang w:val="en-CA"/>
        </w:rPr>
        <w:t xml:space="preserve">Low. </w:t>
      </w:r>
      <w:r w:rsidR="00A3461F">
        <w:rPr>
          <w:lang w:val="en-CA"/>
        </w:rPr>
        <w:t xml:space="preserve">His </w:t>
      </w:r>
      <w:r>
        <w:rPr>
          <w:lang w:val="en-CA"/>
        </w:rPr>
        <w:t>salar</w:t>
      </w:r>
      <w:r w:rsidR="00A3461F">
        <w:rPr>
          <w:lang w:val="en-CA"/>
        </w:rPr>
        <w:t>y</w:t>
      </w:r>
      <w:r>
        <w:rPr>
          <w:lang w:val="en-CA"/>
        </w:rPr>
        <w:t xml:space="preserve"> cover</w:t>
      </w:r>
      <w:r w:rsidR="00A3461F">
        <w:rPr>
          <w:lang w:val="en-CA"/>
        </w:rPr>
        <w:t>s his</w:t>
      </w:r>
      <w:r>
        <w:rPr>
          <w:lang w:val="en-CA"/>
        </w:rPr>
        <w:t xml:space="preserve"> living expenses</w:t>
      </w:r>
      <w:r w:rsidR="00A3461F">
        <w:rPr>
          <w:lang w:val="en-CA"/>
        </w:rPr>
        <w:t xml:space="preserve"> and even beyond to allow him to contribute more to his retirement plan.</w:t>
      </w:r>
    </w:p>
    <w:p w14:paraId="7781214E" w14:textId="79515B41" w:rsidR="00A3461F" w:rsidRDefault="00854668" w:rsidP="008C00E0">
      <w:pPr>
        <w:rPr>
          <w:lang w:val="en-CA"/>
        </w:rPr>
      </w:pPr>
      <w:r>
        <w:rPr>
          <w:b/>
          <w:bCs/>
          <w:lang w:val="en-CA"/>
        </w:rPr>
        <w:t xml:space="preserve">Tax Considerations: </w:t>
      </w:r>
      <w:r>
        <w:rPr>
          <w:lang w:val="en-CA"/>
        </w:rPr>
        <w:t>Moderate. Dividend Income and capital gains are taxed at Canadian marginal rates. TFSA and RRSP wrappers should be maximized first, prioritizing high-income-generating assets (bond, REITs) in registered accounts. Tax-loss harvesting is employed in taxable accounts where applicable.</w:t>
      </w:r>
    </w:p>
    <w:p w14:paraId="58F12578" w14:textId="751C2168" w:rsidR="00854668" w:rsidRDefault="00854668" w:rsidP="008C00E0">
      <w:pPr>
        <w:rPr>
          <w:lang w:val="en-CA"/>
        </w:rPr>
      </w:pPr>
      <w:r>
        <w:rPr>
          <w:b/>
          <w:bCs/>
          <w:lang w:val="en-CA"/>
        </w:rPr>
        <w:t xml:space="preserve">Legal Constraints: </w:t>
      </w:r>
      <w:r>
        <w:rPr>
          <w:lang w:val="en-CA"/>
        </w:rPr>
        <w:t>None identified as of April 2026.</w:t>
      </w:r>
    </w:p>
    <w:p w14:paraId="06A67575" w14:textId="64482BB9" w:rsidR="00A3461F" w:rsidRPr="00A3461F" w:rsidRDefault="00A3461F" w:rsidP="008C00E0">
      <w:pPr>
        <w:rPr>
          <w:lang w:val="en-CA"/>
        </w:rPr>
      </w:pPr>
      <w:r>
        <w:rPr>
          <w:b/>
          <w:bCs/>
          <w:lang w:val="en-CA"/>
        </w:rPr>
        <w:t>Specific</w:t>
      </w:r>
      <w:r>
        <w:rPr>
          <w:b/>
          <w:bCs/>
          <w:lang w:val="en-CA"/>
        </w:rPr>
        <w:t xml:space="preserve"> Constraints:</w:t>
      </w:r>
      <w:r>
        <w:rPr>
          <w:b/>
          <w:bCs/>
          <w:lang w:val="en-CA"/>
        </w:rPr>
        <w:t xml:space="preserve"> </w:t>
      </w:r>
      <w:r>
        <w:rPr>
          <w:lang w:val="en-CA"/>
        </w:rPr>
        <w:t xml:space="preserve">Future family formation may increase liquidity requirements over a </w:t>
      </w:r>
      <w:r w:rsidR="00974DCA">
        <w:rPr>
          <w:lang w:val="en-CA"/>
        </w:rPr>
        <w:t>3–5-year</w:t>
      </w:r>
      <w:r>
        <w:rPr>
          <w:lang w:val="en-CA"/>
        </w:rPr>
        <w:t xml:space="preserve"> horizon</w:t>
      </w:r>
      <w:r w:rsidR="0057571E">
        <w:rPr>
          <w:lang w:val="en-CA"/>
        </w:rPr>
        <w:t>. No immediate income reduction scenarios are anticipated.</w:t>
      </w:r>
    </w:p>
    <w:p w14:paraId="7056F522" w14:textId="49569FF0" w:rsidR="0067358E" w:rsidRDefault="00854668" w:rsidP="00854668">
      <w:pPr>
        <w:pStyle w:val="Heading1"/>
      </w:pPr>
      <w:bookmarkStart w:id="25" w:name="_Toc227618161"/>
      <w:r>
        <w:t xml:space="preserve">Section 4 – </w:t>
      </w:r>
      <w:r w:rsidR="00974DCA">
        <w:t xml:space="preserve">The </w:t>
      </w:r>
      <w:r w:rsidR="005058ED">
        <w:t>ACWI</w:t>
      </w:r>
      <w:r w:rsidR="00974DCA">
        <w:t xml:space="preserve"> Investment Strategy: AI-Energy Nexus</w:t>
      </w:r>
      <w:bookmarkEnd w:id="25"/>
    </w:p>
    <w:p w14:paraId="5C4A0281" w14:textId="644280CA" w:rsidR="0067358E" w:rsidRDefault="0067358E" w:rsidP="0067358E">
      <w:pPr>
        <w:pStyle w:val="Heading2"/>
      </w:pPr>
      <w:bookmarkStart w:id="26" w:name="_Toc227618162"/>
      <w:r>
        <w:t xml:space="preserve">Section 4-7 are built directly from the </w:t>
      </w:r>
      <w:r w:rsidR="005058ED" w:rsidRPr="005058ED">
        <w:t xml:space="preserve">ACWI_index_FV.xlsx </w:t>
      </w:r>
      <w:r>
        <w:t>portfolio model. All retur</w:t>
      </w:r>
      <w:r w:rsidR="002E7078">
        <w:t>n</w:t>
      </w:r>
      <w:r>
        <w:t>, risk, alpha, beta, and allocation figures are sourced directly from the model (Panels A-G, Capital Allocation, Asset Classes Allocation sheets). All data as of April 15</w:t>
      </w:r>
      <w:r w:rsidRPr="0067358E">
        <w:rPr>
          <w:vertAlign w:val="superscript"/>
        </w:rPr>
        <w:t>th</w:t>
      </w:r>
      <w:r>
        <w:t>, 2026.</w:t>
      </w:r>
      <w:bookmarkEnd w:id="26"/>
    </w:p>
    <w:p w14:paraId="00DC4C27" w14:textId="25AB55C0" w:rsidR="0067358E" w:rsidRDefault="0067358E" w:rsidP="0067358E">
      <w:pPr>
        <w:pStyle w:val="Heading3"/>
      </w:pPr>
      <w:bookmarkStart w:id="27" w:name="_Toc227618163"/>
      <w:r>
        <w:t xml:space="preserve">4.1 Investment Thesis: The </w:t>
      </w:r>
      <w:r w:rsidR="005058ED">
        <w:t xml:space="preserve">AI-Energy Nexus </w:t>
      </w:r>
      <w:r>
        <w:t>play</w:t>
      </w:r>
      <w:bookmarkEnd w:id="27"/>
    </w:p>
    <w:p w14:paraId="23A17E3C" w14:textId="607921E0" w:rsidR="0067358E" w:rsidRDefault="0067358E" w:rsidP="0067358E">
      <w:pPr>
        <w:rPr>
          <w:lang w:val="en-CA"/>
        </w:rPr>
      </w:pPr>
      <w:r w:rsidRPr="0067358E">
        <w:rPr>
          <w:lang w:val="en-CA"/>
        </w:rPr>
        <w:t>The core investment thesis driving this portfolio is the structu</w:t>
      </w:r>
      <w:r>
        <w:rPr>
          <w:lang w:val="en-CA"/>
        </w:rPr>
        <w:t>ral intersection of three converging trends (1) the exponential growth in artificial intelligence computing requirements; (2) the resulting surge in electricity demand that AI data centres, hyperscale computing, and electrification are placing on the North American and global power grid; and (3) the urgency and scale of smart grid infrastructure investment required to accommodate this demand while meeting ESG and emissions targets.</w:t>
      </w:r>
    </w:p>
    <w:p w14:paraId="2F3163B0" w14:textId="72BBEEC7" w:rsidR="0057571E" w:rsidRDefault="0057571E" w:rsidP="00D308A4">
      <w:pPr>
        <w:jc w:val="center"/>
        <w:rPr>
          <w:lang w:val="en-CA"/>
        </w:rPr>
      </w:pPr>
    </w:p>
    <w:p w14:paraId="7AC4A1A1" w14:textId="1F587B3D" w:rsidR="000C1E17" w:rsidRDefault="005058ED" w:rsidP="00974DCA">
      <w:pPr>
        <w:rPr>
          <w:lang w:val="en-CA"/>
        </w:rPr>
      </w:pPr>
      <w:r>
        <w:rPr>
          <w:noProof/>
        </w:rPr>
        <w:drawing>
          <wp:inline distT="0" distB="0" distL="0" distR="0" wp14:anchorId="4DA86D62" wp14:editId="5BC4936C">
            <wp:extent cx="6858000" cy="2204357"/>
            <wp:effectExtent l="0" t="0" r="0" b="5715"/>
            <wp:docPr id="39317405" name="Picture 3931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858000" cy="2204357"/>
                    </a:xfrm>
                    <a:prstGeom prst="rect">
                      <a:avLst/>
                    </a:prstGeom>
                  </pic:spPr>
                </pic:pic>
              </a:graphicData>
            </a:graphic>
          </wp:inline>
        </w:drawing>
      </w:r>
    </w:p>
    <w:p w14:paraId="3A2CC51D" w14:textId="2AC2B622" w:rsidR="00BB2DC3" w:rsidRPr="00D308A4" w:rsidRDefault="00BB2DC3" w:rsidP="00BB2DC3">
      <w:pPr>
        <w:spacing w:before="30" w:after="100"/>
        <w:jc w:val="center"/>
        <w:rPr>
          <w:rFonts w:ascii="Arial" w:eastAsia="Arial" w:hAnsi="Arial" w:cs="Arial"/>
          <w:i/>
          <w:iCs/>
          <w:color w:val="666666"/>
          <w:sz w:val="17"/>
          <w:szCs w:val="17"/>
          <w:lang w:val="en-US"/>
        </w:rPr>
      </w:pPr>
      <w:r w:rsidRPr="00D308A4">
        <w:rPr>
          <w:rFonts w:ascii="Arial" w:eastAsia="Arial" w:hAnsi="Arial" w:cs="Arial"/>
          <w:i/>
          <w:iCs/>
          <w:color w:val="666666"/>
          <w:sz w:val="17"/>
          <w:szCs w:val="17"/>
          <w:lang w:val="en-US"/>
        </w:rPr>
        <w:t xml:space="preserve">Figure </w:t>
      </w:r>
      <w:proofErr w:type="gramStart"/>
      <w:r w:rsidRPr="00D308A4">
        <w:rPr>
          <w:rFonts w:ascii="Arial" w:eastAsia="Arial" w:hAnsi="Arial" w:cs="Arial"/>
          <w:i/>
          <w:iCs/>
          <w:color w:val="666666"/>
          <w:sz w:val="17"/>
          <w:szCs w:val="17"/>
          <w:lang w:val="en-US"/>
        </w:rPr>
        <w:t>4.1  -</w:t>
      </w:r>
      <w:proofErr w:type="gramEnd"/>
      <w:r w:rsidRPr="00D308A4">
        <w:rPr>
          <w:rFonts w:ascii="Arial" w:eastAsia="Arial" w:hAnsi="Arial" w:cs="Arial"/>
          <w:i/>
          <w:iCs/>
          <w:color w:val="666666"/>
          <w:sz w:val="17"/>
          <w:szCs w:val="17"/>
          <w:lang w:val="en-US"/>
        </w:rPr>
        <w:t xml:space="preserve">  The </w:t>
      </w:r>
      <w:r w:rsidR="005058ED" w:rsidRPr="005058ED">
        <w:rPr>
          <w:rFonts w:ascii="Arial" w:eastAsia="Arial" w:hAnsi="Arial" w:cs="Arial"/>
          <w:i/>
          <w:iCs/>
          <w:color w:val="666666"/>
          <w:sz w:val="17"/>
          <w:szCs w:val="17"/>
          <w:lang w:val="en-US"/>
        </w:rPr>
        <w:t>AI-Energy Nexus</w:t>
      </w:r>
      <w:r w:rsidRPr="00D308A4">
        <w:rPr>
          <w:rFonts w:ascii="Arial" w:eastAsia="Arial" w:hAnsi="Arial" w:cs="Arial"/>
          <w:i/>
          <w:iCs/>
          <w:color w:val="666666"/>
          <w:sz w:val="17"/>
          <w:szCs w:val="17"/>
          <w:lang w:val="en-US"/>
        </w:rPr>
        <w:t xml:space="preserve"> Investment Thesis: AI </w:t>
      </w:r>
      <w:proofErr w:type="gramStart"/>
      <w:r w:rsidRPr="00D308A4">
        <w:rPr>
          <w:rFonts w:ascii="Arial" w:eastAsia="Arial" w:hAnsi="Arial" w:cs="Arial"/>
          <w:i/>
          <w:iCs/>
          <w:color w:val="666666"/>
          <w:sz w:val="17"/>
          <w:szCs w:val="17"/>
          <w:lang w:val="en-US"/>
        </w:rPr>
        <w:t>Surge  Power</w:t>
      </w:r>
      <w:proofErr w:type="gramEnd"/>
      <w:r w:rsidRPr="00D308A4">
        <w:rPr>
          <w:rFonts w:ascii="Arial" w:eastAsia="Arial" w:hAnsi="Arial" w:cs="Arial"/>
          <w:i/>
          <w:iCs/>
          <w:color w:val="666666"/>
          <w:sz w:val="17"/>
          <w:szCs w:val="17"/>
          <w:lang w:val="en-US"/>
        </w:rPr>
        <w:t xml:space="preserve"> </w:t>
      </w:r>
      <w:proofErr w:type="gramStart"/>
      <w:r w:rsidRPr="00D308A4">
        <w:rPr>
          <w:rFonts w:ascii="Arial" w:eastAsia="Arial" w:hAnsi="Arial" w:cs="Arial"/>
          <w:i/>
          <w:iCs/>
          <w:color w:val="666666"/>
          <w:sz w:val="17"/>
          <w:szCs w:val="17"/>
          <w:lang w:val="en-US"/>
        </w:rPr>
        <w:t>Demand  Smart</w:t>
      </w:r>
      <w:proofErr w:type="gramEnd"/>
      <w:r w:rsidRPr="00D308A4">
        <w:rPr>
          <w:rFonts w:ascii="Arial" w:eastAsia="Arial" w:hAnsi="Arial" w:cs="Arial"/>
          <w:i/>
          <w:iCs/>
          <w:color w:val="666666"/>
          <w:sz w:val="17"/>
          <w:szCs w:val="17"/>
          <w:lang w:val="en-US"/>
        </w:rPr>
        <w:t xml:space="preserve"> Grid </w:t>
      </w:r>
      <w:proofErr w:type="gramStart"/>
      <w:r w:rsidRPr="00D308A4">
        <w:rPr>
          <w:rFonts w:ascii="Arial" w:eastAsia="Arial" w:hAnsi="Arial" w:cs="Arial"/>
          <w:i/>
          <w:iCs/>
          <w:color w:val="666666"/>
          <w:sz w:val="17"/>
          <w:szCs w:val="17"/>
          <w:lang w:val="en-US"/>
        </w:rPr>
        <w:t>Infrastructure  Risk</w:t>
      </w:r>
      <w:proofErr w:type="gramEnd"/>
      <w:r w:rsidRPr="00D308A4">
        <w:rPr>
          <w:rFonts w:ascii="Arial" w:eastAsia="Arial" w:hAnsi="Arial" w:cs="Arial"/>
          <w:i/>
          <w:iCs/>
          <w:color w:val="666666"/>
          <w:sz w:val="17"/>
          <w:szCs w:val="17"/>
          <w:lang w:val="en-US"/>
        </w:rPr>
        <w:t xml:space="preserve">-Adjusted Alpha. </w:t>
      </w:r>
    </w:p>
    <w:p w14:paraId="0B43D015" w14:textId="3D1DC574" w:rsidR="00BB2DC3" w:rsidRDefault="00BB2DC3" w:rsidP="00BB2DC3">
      <w:pPr>
        <w:spacing w:before="30" w:after="100"/>
        <w:jc w:val="center"/>
        <w:rPr>
          <w:rFonts w:ascii="Arial" w:eastAsia="Arial" w:hAnsi="Arial" w:cs="Arial"/>
          <w:i/>
          <w:iCs/>
          <w:color w:val="666666"/>
          <w:sz w:val="17"/>
          <w:szCs w:val="17"/>
          <w:lang w:val="en-US"/>
        </w:rPr>
      </w:pPr>
      <w:r w:rsidRPr="00D308A4">
        <w:rPr>
          <w:rFonts w:ascii="Arial" w:eastAsia="Arial" w:hAnsi="Arial" w:cs="Arial"/>
          <w:i/>
          <w:iCs/>
          <w:color w:val="666666"/>
          <w:sz w:val="17"/>
          <w:szCs w:val="17"/>
          <w:lang w:val="en-US"/>
        </w:rPr>
        <w:t>Source: IPS team construction.</w:t>
      </w:r>
    </w:p>
    <w:p w14:paraId="27C31E6B" w14:textId="77777777" w:rsidR="000C1E17" w:rsidRDefault="000C1E17" w:rsidP="000C1E17">
      <w:pPr>
        <w:spacing w:before="30" w:after="100"/>
        <w:rPr>
          <w:rFonts w:ascii="Arial" w:eastAsia="Arial" w:hAnsi="Arial" w:cs="Arial"/>
          <w:i/>
          <w:iCs/>
          <w:color w:val="666666"/>
          <w:sz w:val="17"/>
          <w:szCs w:val="17"/>
          <w:lang w:val="en-US"/>
        </w:rPr>
      </w:pPr>
    </w:p>
    <w:p w14:paraId="4A00EE53" w14:textId="620DBB0B" w:rsidR="00BB2DC3" w:rsidRDefault="00D308A4" w:rsidP="00974DCA">
      <w:pPr>
        <w:rPr>
          <w:lang w:val="en-CA"/>
        </w:rPr>
      </w:pPr>
      <w:r>
        <w:rPr>
          <w:lang w:val="en-CA"/>
        </w:rPr>
        <w:t xml:space="preserve">According to the US Department of Energy, electricity demand from data centers alone is projected to grow by 40% or more by 2030, a trajectory that requires and estimated </w:t>
      </w:r>
      <w:r w:rsidRPr="00D308A4">
        <w:rPr>
          <w:lang w:val="en-CA"/>
        </w:rPr>
        <w:t>$2-$5 trillion in grid infrastructure investment over the next decade. Crucially, this demand cannot be met by simply building more generation capacity</w:t>
      </w:r>
      <w:r w:rsidR="005058ED">
        <w:rPr>
          <w:lang w:val="en-CA"/>
        </w:rPr>
        <w:t xml:space="preserve">, </w:t>
      </w:r>
      <w:r w:rsidRPr="00D308A4">
        <w:rPr>
          <w:lang w:val="en-CA"/>
        </w:rPr>
        <w:t xml:space="preserve">the transmission and distribution infrastructure, smart metering systems, power management hardware, and grid automation technology must all be upgraded simultaneously. This is the structural opportunity the </w:t>
      </w:r>
      <w:r w:rsidR="005058ED" w:rsidRPr="005058ED">
        <w:rPr>
          <w:lang w:val="en-CA"/>
        </w:rPr>
        <w:t xml:space="preserve">AI-Energy Nexus </w:t>
      </w:r>
      <w:r w:rsidRPr="00D308A4">
        <w:rPr>
          <w:lang w:val="en-CA"/>
        </w:rPr>
        <w:t>portfolio captures.</w:t>
      </w:r>
    </w:p>
    <w:p w14:paraId="7C4846BD" w14:textId="77777777" w:rsidR="00D308A4" w:rsidRDefault="00D308A4" w:rsidP="00974DCA">
      <w:pPr>
        <w:rPr>
          <w:lang w:val="en-CA"/>
        </w:rPr>
      </w:pPr>
    </w:p>
    <w:p w14:paraId="4ED5DB13" w14:textId="361670CF" w:rsidR="00D308A4" w:rsidRDefault="005058ED" w:rsidP="00974DCA">
      <w:pPr>
        <w:rPr>
          <w:lang w:val="en-CA"/>
        </w:rPr>
      </w:pPr>
      <w:r w:rsidRPr="005058ED">
        <w:rPr>
          <w:lang w:val="en-CA"/>
        </w:rPr>
        <w:lastRenderedPageBreak/>
        <w:t>The benchmark for this strategy is the iShares MSCI ACWI ETF (ticker: ACWI, current price $1</w:t>
      </w:r>
      <w:r>
        <w:rPr>
          <w:lang w:val="en-CA"/>
        </w:rPr>
        <w:t>48</w:t>
      </w:r>
      <w:r w:rsidRPr="005058ED">
        <w:rPr>
          <w:lang w:val="en-CA"/>
        </w:rPr>
        <w:t>.</w:t>
      </w:r>
      <w:r>
        <w:rPr>
          <w:lang w:val="en-CA"/>
        </w:rPr>
        <w:t>80</w:t>
      </w:r>
      <w:r w:rsidRPr="005058ED">
        <w:rPr>
          <w:lang w:val="en-CA"/>
        </w:rPr>
        <w:t xml:space="preserve"> as of April 15, 2026)</w:t>
      </w:r>
      <w:r>
        <w:rPr>
          <w:lang w:val="en-CA"/>
        </w:rPr>
        <w:t xml:space="preserve">, </w:t>
      </w:r>
      <w:r w:rsidRPr="005058ED">
        <w:rPr>
          <w:lang w:val="en-CA"/>
        </w:rPr>
        <w:t>a globally diversified equity benchmark covering developed and emerging markets, which tracks a diversified basket of companies across the smart grid value chain</w:t>
      </w:r>
      <w:r>
        <w:rPr>
          <w:lang w:val="en-CA"/>
        </w:rPr>
        <w:t xml:space="preserve">: </w:t>
      </w:r>
      <w:r w:rsidRPr="005058ED">
        <w:rPr>
          <w:lang w:val="en-CA"/>
        </w:rPr>
        <w:t>from utilities and grid operators to smart meter manufacturers and industrial electrical equipment providers. Rather than merely tracking this index passively, the portfolio employs an active overlay (Treynor-Black methodology) to tilt positions toward the highest-alpha securities within this universe, generating superior risk-adjusted returns while preserving the ESG integrity of the underlying theme.</w:t>
      </w:r>
    </w:p>
    <w:p w14:paraId="742B4D4F" w14:textId="1FDBE1BB" w:rsidR="00D308A4" w:rsidRDefault="00D308A4" w:rsidP="00974DCA">
      <w:pPr>
        <w:rPr>
          <w:lang w:val="en-CA"/>
        </w:rPr>
      </w:pPr>
      <w:r>
        <w:rPr>
          <w:b/>
          <w:bCs/>
          <w:lang w:val="en-CA"/>
        </w:rPr>
        <w:t xml:space="preserve">ESG Alignment: </w:t>
      </w:r>
      <w:r>
        <w:rPr>
          <w:lang w:val="en-CA"/>
        </w:rPr>
        <w:t xml:space="preserve">The </w:t>
      </w:r>
      <w:r w:rsidR="005058ED" w:rsidRPr="005058ED">
        <w:rPr>
          <w:lang w:val="en-CA"/>
        </w:rPr>
        <w:t xml:space="preserve">AI-Energy Nexus </w:t>
      </w:r>
      <w:r>
        <w:rPr>
          <w:lang w:val="en-CA"/>
        </w:rPr>
        <w:t xml:space="preserve">universe is inherently ESG-efficient by construction. All </w:t>
      </w:r>
      <w:r w:rsidR="002E7078">
        <w:rPr>
          <w:lang w:val="en-CA"/>
        </w:rPr>
        <w:t>constituent</w:t>
      </w:r>
      <w:r>
        <w:rPr>
          <w:lang w:val="en-CA"/>
        </w:rPr>
        <w:t xml:space="preserve"> companies derive their primary revenue from clean energy infrastructure, grid modernisation, or energy efficiency technology, sectors with the lowest environmental externalities among industrial and utility businesses. The portfolio manager applies an MSCI ESG BBB minimum rating screen to all active positions, ensuring that the alpha pursuit does not compromise the sustainability mandate. This alignment is particularly important for the client, whose investment profile and sector</w:t>
      </w:r>
      <w:r w:rsidR="00E437E9">
        <w:rPr>
          <w:lang w:val="en-CA"/>
        </w:rPr>
        <w:t xml:space="preserve"> focus signal an explicit preference for sustainable, purposeful capital deployment</w:t>
      </w:r>
      <w:r w:rsidR="002E7078">
        <w:rPr>
          <w:lang w:val="en-CA"/>
        </w:rPr>
        <w:t>.</w:t>
      </w:r>
    </w:p>
    <w:p w14:paraId="2D6CADE6" w14:textId="01F962F3" w:rsidR="002E7078" w:rsidRDefault="002E7078" w:rsidP="002E7078">
      <w:pPr>
        <w:pStyle w:val="Heading3"/>
      </w:pPr>
      <w:bookmarkStart w:id="28" w:name="_Toc227618164"/>
      <w:r>
        <w:t>4.2 Capital Allocation: From Risk Profile to Optimal Portfolio</w:t>
      </w:r>
      <w:bookmarkEnd w:id="28"/>
    </w:p>
    <w:p w14:paraId="202A6403" w14:textId="1263E6F8" w:rsidR="00DD4ABB" w:rsidRDefault="00DD4ABB" w:rsidP="002E7078">
      <w:pPr>
        <w:rPr>
          <w:lang w:val="en-CA"/>
        </w:rPr>
      </w:pPr>
      <w:r>
        <w:rPr>
          <w:lang w:val="en-CA"/>
        </w:rPr>
        <w:t xml:space="preserve">The portfolio construction process begins at the client level, translating his risk tolerance score of </w:t>
      </w:r>
      <w:r w:rsidR="005058ED">
        <w:rPr>
          <w:lang w:val="en-CA"/>
        </w:rPr>
        <w:t>5</w:t>
      </w:r>
      <w:r>
        <w:rPr>
          <w:lang w:val="en-CA"/>
        </w:rPr>
        <w:t>0/100 into a precise a mathematical allocation between the risk-free rate and the optimal risky portfolio. This step, governed by the Capital Allocation Line (CAL) framework, is the single most important determinant of portfolio risk and is the directly calibrated to the client’s preferences.</w:t>
      </w:r>
    </w:p>
    <w:tbl>
      <w:tblPr>
        <w:tblW w:w="9360" w:type="dxa"/>
        <w:jc w:val="center"/>
        <w:tblCellMar>
          <w:left w:w="10" w:type="dxa"/>
          <w:right w:w="10" w:type="dxa"/>
        </w:tblCellMar>
        <w:tblLook w:val="04A0" w:firstRow="1" w:lastRow="0" w:firstColumn="1" w:lastColumn="0" w:noHBand="0" w:noVBand="1"/>
      </w:tblPr>
      <w:tblGrid>
        <w:gridCol w:w="3600"/>
        <w:gridCol w:w="2880"/>
        <w:gridCol w:w="2880"/>
      </w:tblGrid>
      <w:tr w:rsidR="009909BF" w14:paraId="1AF99A4D" w14:textId="77777777" w:rsidTr="009909BF">
        <w:tblPrEx>
          <w:tblCellMar>
            <w:top w:w="0" w:type="dxa"/>
            <w:bottom w:w="0" w:type="dxa"/>
          </w:tblCellMar>
        </w:tblPrEx>
        <w:trPr>
          <w:jc w:val="center"/>
        </w:trPr>
        <w:tc>
          <w:tcPr>
            <w:tcW w:w="36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B1B5D02" w14:textId="77777777" w:rsidR="009909BF" w:rsidRDefault="009909BF" w:rsidP="00155891">
            <w:pPr>
              <w:jc w:val="center"/>
            </w:pPr>
            <w:proofErr w:type="spellStart"/>
            <w:r>
              <w:rPr>
                <w:rFonts w:ascii="Arial" w:hAnsi="Arial"/>
                <w:b/>
                <w:color w:val="FFFFFF"/>
                <w:sz w:val="18"/>
              </w:rPr>
              <w:t>Parameter</w:t>
            </w:r>
            <w:proofErr w:type="spellEnd"/>
          </w:p>
        </w:tc>
        <w:tc>
          <w:tcPr>
            <w:tcW w:w="28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23CBEBBF" w14:textId="77777777" w:rsidR="009909BF" w:rsidRDefault="009909BF" w:rsidP="00155891">
            <w:pPr>
              <w:jc w:val="center"/>
            </w:pPr>
            <w:r>
              <w:rPr>
                <w:rFonts w:ascii="Arial" w:hAnsi="Arial"/>
                <w:b/>
                <w:color w:val="FFFFFF"/>
                <w:sz w:val="18"/>
              </w:rPr>
              <w:t>Value</w:t>
            </w:r>
          </w:p>
        </w:tc>
        <w:tc>
          <w:tcPr>
            <w:tcW w:w="28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11FC5F1" w14:textId="77777777" w:rsidR="009909BF" w:rsidRDefault="009909BF" w:rsidP="00155891">
            <w:pPr>
              <w:jc w:val="center"/>
            </w:pPr>
            <w:proofErr w:type="spellStart"/>
            <w:r>
              <w:rPr>
                <w:rFonts w:ascii="Arial" w:hAnsi="Arial"/>
                <w:b/>
                <w:color w:val="FFFFFF"/>
                <w:sz w:val="18"/>
              </w:rPr>
              <w:t>Interpretation</w:t>
            </w:r>
            <w:proofErr w:type="spellEnd"/>
          </w:p>
        </w:tc>
      </w:tr>
      <w:tr w:rsidR="009909BF" w:rsidRPr="009909BF" w14:paraId="5A95F587"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4A13717" w14:textId="77777777" w:rsidR="009909BF" w:rsidRDefault="009909BF" w:rsidP="00155891">
            <w:pPr>
              <w:jc w:val="center"/>
            </w:pPr>
            <w:r>
              <w:rPr>
                <w:rFonts w:ascii="Arial" w:hAnsi="Arial"/>
                <w:b/>
                <w:color w:val="2C2C2C"/>
                <w:sz w:val="19"/>
              </w:rPr>
              <w:t>Risk Aversion Index (A)</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7CB5341" w14:textId="77777777" w:rsidR="009909BF" w:rsidRDefault="009909BF" w:rsidP="00155891">
            <w:pPr>
              <w:jc w:val="center"/>
            </w:pPr>
            <w:r>
              <w:rPr>
                <w:rFonts w:ascii="Arial" w:hAnsi="Arial"/>
                <w:color w:val="1A6B3A"/>
                <w:sz w:val="19"/>
              </w:rPr>
              <w:t>9.0</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E45E603" w14:textId="77777777" w:rsidR="009909BF" w:rsidRPr="009909BF" w:rsidRDefault="009909BF" w:rsidP="00155891">
            <w:pPr>
              <w:jc w:val="center"/>
              <w:rPr>
                <w:lang w:val="en-CA"/>
              </w:rPr>
            </w:pPr>
            <w:r w:rsidRPr="009909BF">
              <w:rPr>
                <w:rFonts w:ascii="Arial" w:hAnsi="Arial"/>
                <w:color w:val="2C2C2C"/>
                <w:sz w:val="19"/>
                <w:lang w:val="en-CA"/>
              </w:rPr>
              <w:t>Conservative investor; high aversion to variance (scale 1–20, Bull market)</w:t>
            </w:r>
          </w:p>
        </w:tc>
      </w:tr>
      <w:tr w:rsidR="009909BF" w:rsidRPr="009909BF" w14:paraId="358C7500"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5F92039" w14:textId="77777777" w:rsidR="009909BF" w:rsidRDefault="009909BF" w:rsidP="00155891">
            <w:pPr>
              <w:jc w:val="center"/>
            </w:pPr>
            <w:r>
              <w:rPr>
                <w:rFonts w:ascii="Arial" w:hAnsi="Arial"/>
                <w:b/>
                <w:color w:val="2C2C2C"/>
                <w:sz w:val="19"/>
              </w:rPr>
              <w:t xml:space="preserve">Risk </w:t>
            </w:r>
            <w:proofErr w:type="spellStart"/>
            <w:r>
              <w:rPr>
                <w:rFonts w:ascii="Arial" w:hAnsi="Arial"/>
                <w:b/>
                <w:color w:val="2C2C2C"/>
                <w:sz w:val="19"/>
              </w:rPr>
              <w:t>Tolerance</w:t>
            </w:r>
            <w:proofErr w:type="spellEnd"/>
            <w:r>
              <w:rPr>
                <w:rFonts w:ascii="Arial" w:hAnsi="Arial"/>
                <w:b/>
                <w:color w:val="2C2C2C"/>
                <w:sz w:val="19"/>
              </w:rPr>
              <w:t xml:space="preserve"> Score</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155FEEE" w14:textId="77777777" w:rsidR="009909BF" w:rsidRDefault="009909BF" w:rsidP="00155891">
            <w:pPr>
              <w:jc w:val="center"/>
            </w:pPr>
            <w:r>
              <w:rPr>
                <w:rFonts w:ascii="Arial" w:hAnsi="Arial"/>
                <w:color w:val="2C2C2C"/>
                <w:sz w:val="19"/>
              </w:rPr>
              <w:t>55 / 100</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B21AA3B" w14:textId="77777777" w:rsidR="009909BF" w:rsidRPr="009909BF" w:rsidRDefault="009909BF" w:rsidP="00155891">
            <w:pPr>
              <w:jc w:val="center"/>
              <w:rPr>
                <w:lang w:val="en-CA"/>
              </w:rPr>
            </w:pPr>
            <w:r w:rsidRPr="009909BF">
              <w:rPr>
                <w:rFonts w:ascii="Arial" w:hAnsi="Arial"/>
                <w:color w:val="2C2C2C"/>
                <w:sz w:val="19"/>
                <w:lang w:val="en-CA"/>
              </w:rPr>
              <w:t>Confirmed conservative-moderate; drives y = 0.5569 risky weight</w:t>
            </w:r>
          </w:p>
        </w:tc>
      </w:tr>
      <w:tr w:rsidR="009909BF" w:rsidRPr="009909BF" w14:paraId="072EDD5C"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8713E97" w14:textId="77777777" w:rsidR="009909BF" w:rsidRPr="009909BF" w:rsidRDefault="009909BF" w:rsidP="00155891">
            <w:pPr>
              <w:jc w:val="center"/>
              <w:rPr>
                <w:lang w:val="en-CA"/>
              </w:rPr>
            </w:pPr>
            <w:r w:rsidRPr="009909BF">
              <w:rPr>
                <w:rFonts w:ascii="Arial" w:hAnsi="Arial"/>
                <w:b/>
                <w:color w:val="2C2C2C"/>
                <w:sz w:val="19"/>
                <w:lang w:val="en-CA"/>
              </w:rPr>
              <w:t xml:space="preserve">Optimal Weight in Risky </w:t>
            </w:r>
            <w:proofErr w:type="spellStart"/>
            <w:r w:rsidRPr="009909BF">
              <w:rPr>
                <w:rFonts w:ascii="Arial" w:hAnsi="Arial"/>
                <w:b/>
                <w:color w:val="2C2C2C"/>
                <w:sz w:val="19"/>
                <w:lang w:val="en-CA"/>
              </w:rPr>
              <w:t>Pf</w:t>
            </w:r>
            <w:proofErr w:type="spellEnd"/>
            <w:r w:rsidRPr="009909BF">
              <w:rPr>
                <w:rFonts w:ascii="Arial" w:hAnsi="Arial"/>
                <w:b/>
                <w:color w:val="2C2C2C"/>
                <w:sz w:val="19"/>
                <w:lang w:val="en-CA"/>
              </w:rPr>
              <w:t xml:space="preserve"> (y)</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B7B0C88" w14:textId="77777777" w:rsidR="009909BF" w:rsidRDefault="009909BF" w:rsidP="00155891">
            <w:pPr>
              <w:jc w:val="center"/>
            </w:pPr>
            <w:r>
              <w:rPr>
                <w:rFonts w:ascii="Arial" w:hAnsi="Arial"/>
                <w:color w:val="1A6B3A"/>
                <w:sz w:val="19"/>
              </w:rPr>
              <w:t>55.69%</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A9CA9E8" w14:textId="77777777" w:rsidR="009909BF" w:rsidRPr="009909BF" w:rsidRDefault="009909BF" w:rsidP="00155891">
            <w:pPr>
              <w:jc w:val="center"/>
              <w:rPr>
                <w:lang w:val="en-CA"/>
              </w:rPr>
            </w:pPr>
            <w:r w:rsidRPr="009909BF">
              <w:rPr>
                <w:rFonts w:ascii="Arial" w:hAnsi="Arial"/>
                <w:color w:val="2C2C2C"/>
                <w:sz w:val="19"/>
                <w:lang w:val="en-CA"/>
              </w:rPr>
              <w:t>Capital deployed into active ACWI-overlay equity strategy</w:t>
            </w:r>
          </w:p>
        </w:tc>
      </w:tr>
      <w:tr w:rsidR="009909BF" w:rsidRPr="009909BF" w14:paraId="36AF5209"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BEECF1E" w14:textId="77777777" w:rsidR="009909BF" w:rsidRPr="009909BF" w:rsidRDefault="009909BF" w:rsidP="00155891">
            <w:pPr>
              <w:jc w:val="center"/>
              <w:rPr>
                <w:lang w:val="en-CA"/>
              </w:rPr>
            </w:pPr>
            <w:r w:rsidRPr="009909BF">
              <w:rPr>
                <w:rFonts w:ascii="Arial" w:hAnsi="Arial"/>
                <w:b/>
                <w:color w:val="2C2C2C"/>
                <w:sz w:val="19"/>
                <w:lang w:val="en-CA"/>
              </w:rPr>
              <w:t>Weight in Risk-Free Asset (1−y)</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38C6A53" w14:textId="77777777" w:rsidR="009909BF" w:rsidRDefault="009909BF" w:rsidP="00155891">
            <w:pPr>
              <w:jc w:val="center"/>
            </w:pPr>
            <w:r>
              <w:rPr>
                <w:rFonts w:ascii="Arial" w:hAnsi="Arial"/>
                <w:color w:val="1A6B3A"/>
                <w:sz w:val="19"/>
              </w:rPr>
              <w:t>44.31%</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CD79D03" w14:textId="77777777" w:rsidR="009909BF" w:rsidRPr="009909BF" w:rsidRDefault="009909BF" w:rsidP="00155891">
            <w:pPr>
              <w:jc w:val="center"/>
              <w:rPr>
                <w:lang w:val="en-CA"/>
              </w:rPr>
            </w:pPr>
            <w:r w:rsidRPr="009909BF">
              <w:rPr>
                <w:rFonts w:ascii="Arial" w:hAnsi="Arial"/>
                <w:color w:val="2C2C2C"/>
                <w:sz w:val="19"/>
                <w:lang w:val="en-CA"/>
              </w:rPr>
              <w:t>TLT / T-Bill buffer providing capital protection</w:t>
            </w:r>
          </w:p>
        </w:tc>
      </w:tr>
      <w:tr w:rsidR="009909BF" w:rsidRPr="009909BF" w14:paraId="7D2358AF"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EEAE3DB" w14:textId="77777777" w:rsidR="009909BF" w:rsidRDefault="009909BF" w:rsidP="00155891">
            <w:pPr>
              <w:jc w:val="center"/>
            </w:pPr>
            <w:r>
              <w:rPr>
                <w:rFonts w:ascii="Arial" w:hAnsi="Arial"/>
                <w:b/>
                <w:color w:val="2C2C2C"/>
                <w:sz w:val="19"/>
              </w:rPr>
              <w:t>E(</w:t>
            </w:r>
            <w:proofErr w:type="spellStart"/>
            <w:r>
              <w:rPr>
                <w:rFonts w:ascii="Arial" w:hAnsi="Arial"/>
                <w:b/>
                <w:color w:val="2C2C2C"/>
                <w:sz w:val="19"/>
              </w:rPr>
              <w:t>Rc</w:t>
            </w:r>
            <w:proofErr w:type="spellEnd"/>
            <w:r>
              <w:rPr>
                <w:rFonts w:ascii="Arial" w:hAnsi="Arial"/>
                <w:b/>
                <w:color w:val="2C2C2C"/>
                <w:sz w:val="19"/>
              </w:rPr>
              <w:t>) — Complete Portfolio Return</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434386E" w14:textId="77777777" w:rsidR="009909BF" w:rsidRDefault="009909BF" w:rsidP="00155891">
            <w:pPr>
              <w:jc w:val="center"/>
            </w:pPr>
            <w:r>
              <w:rPr>
                <w:rFonts w:ascii="Arial" w:hAnsi="Arial"/>
                <w:color w:val="1A6B3A"/>
                <w:sz w:val="19"/>
              </w:rPr>
              <w:t>18.61%</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2658EC8" w14:textId="77777777" w:rsidR="009909BF" w:rsidRPr="009909BF" w:rsidRDefault="009909BF" w:rsidP="00155891">
            <w:pPr>
              <w:jc w:val="center"/>
              <w:rPr>
                <w:lang w:val="en-CA"/>
              </w:rPr>
            </w:pPr>
            <w:r w:rsidRPr="009909BF">
              <w:rPr>
                <w:rFonts w:ascii="Arial" w:hAnsi="Arial"/>
                <w:color w:val="2C2C2C"/>
                <w:sz w:val="19"/>
                <w:lang w:val="en-CA"/>
              </w:rPr>
              <w:t xml:space="preserve">Expected net annual return of the </w:t>
            </w:r>
            <w:proofErr w:type="gramStart"/>
            <w:r w:rsidRPr="009909BF">
              <w:rPr>
                <w:rFonts w:ascii="Arial" w:hAnsi="Arial"/>
                <w:color w:val="2C2C2C"/>
                <w:sz w:val="19"/>
                <w:lang w:val="en-CA"/>
              </w:rPr>
              <w:t>fully-allocated</w:t>
            </w:r>
            <w:proofErr w:type="gramEnd"/>
            <w:r w:rsidRPr="009909BF">
              <w:rPr>
                <w:rFonts w:ascii="Arial" w:hAnsi="Arial"/>
                <w:color w:val="2C2C2C"/>
                <w:sz w:val="19"/>
                <w:lang w:val="en-CA"/>
              </w:rPr>
              <w:t xml:space="preserve"> portfolio</w:t>
            </w:r>
          </w:p>
        </w:tc>
      </w:tr>
      <w:tr w:rsidR="009909BF" w:rsidRPr="009909BF" w14:paraId="385C9E6A"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00E1D18" w14:textId="77777777" w:rsidR="009909BF" w:rsidRDefault="009909BF" w:rsidP="00155891">
            <w:pPr>
              <w:jc w:val="center"/>
            </w:pPr>
            <w:proofErr w:type="spellStart"/>
            <w:r>
              <w:rPr>
                <w:rFonts w:ascii="Arial" w:hAnsi="Arial"/>
                <w:b/>
                <w:color w:val="2C2C2C"/>
                <w:sz w:val="19"/>
              </w:rPr>
              <w:t>σc</w:t>
            </w:r>
            <w:proofErr w:type="spellEnd"/>
            <w:r>
              <w:rPr>
                <w:rFonts w:ascii="Arial" w:hAnsi="Arial"/>
                <w:b/>
                <w:color w:val="2C2C2C"/>
                <w:sz w:val="19"/>
              </w:rPr>
              <w:t xml:space="preserve"> — Complete Portfolio Std Dev</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87F14BC" w14:textId="77777777" w:rsidR="009909BF" w:rsidRDefault="009909BF" w:rsidP="00155891">
            <w:pPr>
              <w:jc w:val="center"/>
            </w:pPr>
            <w:r>
              <w:rPr>
                <w:rFonts w:ascii="Arial" w:hAnsi="Arial"/>
                <w:color w:val="1A6B3A"/>
                <w:sz w:val="19"/>
              </w:rPr>
              <w:t>12.32%</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E4B432B" w14:textId="77777777" w:rsidR="009909BF" w:rsidRPr="009909BF" w:rsidRDefault="009909BF" w:rsidP="00155891">
            <w:pPr>
              <w:jc w:val="center"/>
              <w:rPr>
                <w:lang w:val="en-CA"/>
              </w:rPr>
            </w:pPr>
            <w:r w:rsidRPr="009909BF">
              <w:rPr>
                <w:rFonts w:ascii="Arial" w:hAnsi="Arial"/>
                <w:color w:val="2C2C2C"/>
                <w:sz w:val="19"/>
                <w:lang w:val="en-CA"/>
              </w:rPr>
              <w:t>Realised risk at optimal y; comfortably within conservative tolerance</w:t>
            </w:r>
          </w:p>
        </w:tc>
      </w:tr>
      <w:tr w:rsidR="009909BF" w:rsidRPr="009909BF" w14:paraId="1D24FD1C"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4362186" w14:textId="77777777" w:rsidR="009909BF" w:rsidRDefault="009909BF" w:rsidP="00155891">
            <w:pPr>
              <w:jc w:val="center"/>
            </w:pPr>
            <w:r>
              <w:rPr>
                <w:rFonts w:ascii="Arial" w:hAnsi="Arial"/>
                <w:b/>
                <w:color w:val="2C2C2C"/>
                <w:sz w:val="19"/>
              </w:rPr>
              <w:t xml:space="preserve">Sharpe Ratio (CAL </w:t>
            </w:r>
            <w:proofErr w:type="spellStart"/>
            <w:r>
              <w:rPr>
                <w:rFonts w:ascii="Arial" w:hAnsi="Arial"/>
                <w:b/>
                <w:color w:val="2C2C2C"/>
                <w:sz w:val="19"/>
              </w:rPr>
              <w:t>Slope</w:t>
            </w:r>
            <w:proofErr w:type="spellEnd"/>
            <w:r>
              <w:rPr>
                <w:rFonts w:ascii="Arial" w:hAnsi="Arial"/>
                <w:b/>
                <w:color w:val="2C2C2C"/>
                <w:sz w:val="19"/>
              </w:rPr>
              <w:t>)</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BB0E36D" w14:textId="77777777" w:rsidR="009909BF" w:rsidRDefault="009909BF" w:rsidP="00155891">
            <w:pPr>
              <w:jc w:val="center"/>
            </w:pPr>
            <w:r>
              <w:rPr>
                <w:rFonts w:ascii="Arial" w:hAnsi="Arial"/>
                <w:color w:val="1A6B3A"/>
                <w:sz w:val="19"/>
              </w:rPr>
              <w:t>1.109</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C11ACF5" w14:textId="77777777" w:rsidR="009909BF" w:rsidRPr="009909BF" w:rsidRDefault="009909BF" w:rsidP="00155891">
            <w:pPr>
              <w:jc w:val="center"/>
              <w:rPr>
                <w:lang w:val="en-CA"/>
              </w:rPr>
            </w:pPr>
            <w:r w:rsidRPr="009909BF">
              <w:rPr>
                <w:rFonts w:ascii="Arial" w:hAnsi="Arial"/>
                <w:color w:val="2C2C2C"/>
                <w:sz w:val="19"/>
                <w:lang w:val="en-CA"/>
              </w:rPr>
              <w:t xml:space="preserve">Exceptional: &gt;1.0 indicates superior risk-adjusted return per unit of </w:t>
            </w:r>
            <w:r>
              <w:rPr>
                <w:rFonts w:ascii="Arial" w:hAnsi="Arial"/>
                <w:color w:val="2C2C2C"/>
                <w:sz w:val="19"/>
              </w:rPr>
              <w:t>σ</w:t>
            </w:r>
          </w:p>
        </w:tc>
      </w:tr>
      <w:tr w:rsidR="009909BF" w:rsidRPr="009909BF" w14:paraId="2ACE078E"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F0EE74D" w14:textId="77777777" w:rsidR="009909BF" w:rsidRPr="009909BF" w:rsidRDefault="009909BF" w:rsidP="00155891">
            <w:pPr>
              <w:jc w:val="center"/>
              <w:rPr>
                <w:lang w:val="en-CA"/>
              </w:rPr>
            </w:pPr>
            <w:r w:rsidRPr="009909BF">
              <w:rPr>
                <w:rFonts w:ascii="Arial" w:hAnsi="Arial"/>
                <w:b/>
                <w:color w:val="2C2C2C"/>
                <w:sz w:val="19"/>
                <w:lang w:val="en-CA"/>
              </w:rPr>
              <w:t>Risk-Free Rate (T-Bill)</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9CC3D6D" w14:textId="77777777" w:rsidR="009909BF" w:rsidRDefault="009909BF" w:rsidP="00155891">
            <w:pPr>
              <w:jc w:val="center"/>
            </w:pPr>
            <w:r>
              <w:rPr>
                <w:rFonts w:ascii="Arial" w:hAnsi="Arial"/>
                <w:color w:val="1A6B3A"/>
                <w:sz w:val="19"/>
              </w:rPr>
              <w:t>4.95%</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B5D713D" w14:textId="77777777" w:rsidR="009909BF" w:rsidRPr="009909BF" w:rsidRDefault="009909BF" w:rsidP="00155891">
            <w:pPr>
              <w:jc w:val="center"/>
              <w:rPr>
                <w:lang w:val="en-CA"/>
              </w:rPr>
            </w:pPr>
            <w:r w:rsidRPr="009909BF">
              <w:rPr>
                <w:rFonts w:ascii="Arial" w:hAnsi="Arial"/>
                <w:color w:val="2C2C2C"/>
                <w:sz w:val="19"/>
                <w:lang w:val="en-CA"/>
              </w:rPr>
              <w:t>Current 3-month US Treasury Bill rate (April 2026)</w:t>
            </w:r>
          </w:p>
        </w:tc>
      </w:tr>
      <w:tr w:rsidR="009909BF" w:rsidRPr="009909BF" w14:paraId="281196BA"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D04969F" w14:textId="77777777" w:rsidR="009909BF" w:rsidRPr="009909BF" w:rsidRDefault="009909BF" w:rsidP="00155891">
            <w:pPr>
              <w:jc w:val="center"/>
              <w:rPr>
                <w:lang w:val="en-CA"/>
              </w:rPr>
            </w:pPr>
            <w:r w:rsidRPr="009909BF">
              <w:rPr>
                <w:rFonts w:ascii="Arial" w:hAnsi="Arial"/>
                <w:b/>
                <w:color w:val="2C2C2C"/>
                <w:sz w:val="19"/>
                <w:lang w:val="en-CA"/>
              </w:rPr>
              <w:t>Utility U at Optimal Point</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41328E7" w14:textId="77777777" w:rsidR="009909BF" w:rsidRDefault="009909BF" w:rsidP="00155891">
            <w:pPr>
              <w:jc w:val="center"/>
            </w:pPr>
            <w:r>
              <w:rPr>
                <w:rFonts w:ascii="Arial" w:hAnsi="Arial"/>
                <w:color w:val="1A6B3A"/>
                <w:sz w:val="19"/>
              </w:rPr>
              <w:t>11.78%</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E150946" w14:textId="77777777" w:rsidR="009909BF" w:rsidRPr="009909BF" w:rsidRDefault="009909BF" w:rsidP="00155891">
            <w:pPr>
              <w:jc w:val="center"/>
              <w:rPr>
                <w:lang w:val="en-CA"/>
              </w:rPr>
            </w:pPr>
            <w:r w:rsidRPr="009909BF">
              <w:rPr>
                <w:rFonts w:ascii="Arial" w:hAnsi="Arial"/>
                <w:color w:val="2C2C2C"/>
                <w:sz w:val="19"/>
                <w:lang w:val="en-CA"/>
              </w:rPr>
              <w:t>Maximum achievable utility given A=9.0; tangency of CAL &amp; indifference curve</w:t>
            </w:r>
          </w:p>
        </w:tc>
      </w:tr>
      <w:tr w:rsidR="009909BF" w:rsidRPr="009909BF" w14:paraId="253664BA"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5D01E4F" w14:textId="77777777" w:rsidR="009909BF" w:rsidRDefault="009909BF" w:rsidP="00155891">
            <w:pPr>
              <w:jc w:val="center"/>
            </w:pPr>
            <w:proofErr w:type="spellStart"/>
            <w:r>
              <w:rPr>
                <w:rFonts w:ascii="Arial" w:hAnsi="Arial"/>
                <w:b/>
                <w:color w:val="2C2C2C"/>
                <w:sz w:val="19"/>
              </w:rPr>
              <w:t>Jensen's</w:t>
            </w:r>
            <w:proofErr w:type="spellEnd"/>
            <w:r>
              <w:rPr>
                <w:rFonts w:ascii="Arial" w:hAnsi="Arial"/>
                <w:b/>
                <w:color w:val="2C2C2C"/>
                <w:sz w:val="19"/>
              </w:rPr>
              <w:t xml:space="preserve"> Alpha (Active Portfolio)</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C279424" w14:textId="77777777" w:rsidR="009909BF" w:rsidRDefault="009909BF" w:rsidP="00155891">
            <w:pPr>
              <w:jc w:val="center"/>
            </w:pPr>
            <w:r>
              <w:rPr>
                <w:rFonts w:ascii="Arial" w:hAnsi="Arial"/>
                <w:color w:val="1A6B3A"/>
                <w:sz w:val="19"/>
              </w:rPr>
              <w:t>17.37%</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56B01F1" w14:textId="77777777" w:rsidR="009909BF" w:rsidRPr="009909BF" w:rsidRDefault="009909BF" w:rsidP="00155891">
            <w:pPr>
              <w:jc w:val="center"/>
              <w:rPr>
                <w:lang w:val="en-CA"/>
              </w:rPr>
            </w:pPr>
            <w:r w:rsidRPr="009909BF">
              <w:rPr>
                <w:rFonts w:ascii="Arial" w:hAnsi="Arial"/>
                <w:color w:val="2C2C2C"/>
                <w:sz w:val="19"/>
                <w:lang w:val="en-CA"/>
              </w:rPr>
              <w:t>Active outperformance above CAPM benchmark</w:t>
            </w:r>
          </w:p>
        </w:tc>
      </w:tr>
      <w:tr w:rsidR="009909BF" w:rsidRPr="009909BF" w14:paraId="2467270F"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2C2F5E2" w14:textId="77777777" w:rsidR="009909BF" w:rsidRDefault="009909BF" w:rsidP="00155891">
            <w:pPr>
              <w:jc w:val="center"/>
            </w:pPr>
            <w:r>
              <w:rPr>
                <w:rFonts w:ascii="Arial" w:hAnsi="Arial"/>
                <w:b/>
                <w:color w:val="2C2C2C"/>
                <w:sz w:val="19"/>
              </w:rPr>
              <w:t>Information Ratio</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C5FAF6C" w14:textId="77777777" w:rsidR="009909BF" w:rsidRDefault="009909BF" w:rsidP="00155891">
            <w:pPr>
              <w:jc w:val="center"/>
            </w:pPr>
            <w:r>
              <w:rPr>
                <w:rFonts w:ascii="Arial" w:hAnsi="Arial"/>
                <w:color w:val="1A6B3A"/>
                <w:sz w:val="19"/>
              </w:rPr>
              <w:t>0.855</w:t>
            </w:r>
          </w:p>
        </w:tc>
        <w:tc>
          <w:tcPr>
            <w:tcW w:w="2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DD9B7A5" w14:textId="77777777" w:rsidR="009909BF" w:rsidRPr="009909BF" w:rsidRDefault="009909BF" w:rsidP="00155891">
            <w:pPr>
              <w:jc w:val="center"/>
              <w:rPr>
                <w:lang w:val="en-CA"/>
              </w:rPr>
            </w:pPr>
            <w:r w:rsidRPr="009909BF">
              <w:rPr>
                <w:rFonts w:ascii="Arial" w:hAnsi="Arial"/>
                <w:color w:val="2C2C2C"/>
                <w:sz w:val="19"/>
                <w:lang w:val="en-CA"/>
              </w:rPr>
              <w:t>Exceeds 0.30 threshold; exceptional active management signal</w:t>
            </w:r>
          </w:p>
        </w:tc>
      </w:tr>
      <w:tr w:rsidR="009909BF" w:rsidRPr="009909BF" w14:paraId="3346BBBD" w14:textId="77777777" w:rsidTr="009909BF">
        <w:tblPrEx>
          <w:tblCellMar>
            <w:top w:w="0" w:type="dxa"/>
            <w:bottom w:w="0" w:type="dxa"/>
          </w:tblCellMar>
        </w:tblPrEx>
        <w:trPr>
          <w:jc w:val="center"/>
        </w:trPr>
        <w:tc>
          <w:tcPr>
            <w:tcW w:w="36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4523681" w14:textId="77777777" w:rsidR="009909BF" w:rsidRDefault="009909BF" w:rsidP="00155891">
            <w:pPr>
              <w:jc w:val="center"/>
            </w:pPr>
            <w:r>
              <w:rPr>
                <w:rFonts w:ascii="Arial" w:hAnsi="Arial"/>
                <w:b/>
                <w:color w:val="2C2C2C"/>
                <w:sz w:val="19"/>
              </w:rPr>
              <w:t>Portfolio Beta (vs. ACWI)</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101B45B" w14:textId="77777777" w:rsidR="009909BF" w:rsidRDefault="009909BF" w:rsidP="00155891">
            <w:pPr>
              <w:jc w:val="center"/>
            </w:pPr>
            <w:r>
              <w:rPr>
                <w:rFonts w:ascii="Arial" w:hAnsi="Arial"/>
                <w:color w:val="1A6B3A"/>
                <w:sz w:val="19"/>
              </w:rPr>
              <w:t>1.274</w:t>
            </w:r>
          </w:p>
        </w:tc>
        <w:tc>
          <w:tcPr>
            <w:tcW w:w="2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970B118" w14:textId="77777777" w:rsidR="009909BF" w:rsidRPr="009909BF" w:rsidRDefault="009909BF" w:rsidP="00155891">
            <w:pPr>
              <w:jc w:val="center"/>
              <w:rPr>
                <w:lang w:val="en-CA"/>
              </w:rPr>
            </w:pPr>
            <w:r w:rsidRPr="009909BF">
              <w:rPr>
                <w:rFonts w:ascii="Arial" w:hAnsi="Arial"/>
                <w:color w:val="2C2C2C"/>
                <w:sz w:val="19"/>
                <w:lang w:val="en-CA"/>
              </w:rPr>
              <w:t>Growth tilt; higher than market beta of 1.0</w:t>
            </w:r>
          </w:p>
        </w:tc>
      </w:tr>
    </w:tbl>
    <w:p w14:paraId="666B3D4B" w14:textId="77777777" w:rsidR="009909BF" w:rsidRDefault="009909BF" w:rsidP="009909BF">
      <w:pPr>
        <w:spacing w:before="30" w:after="100"/>
        <w:rPr>
          <w:rFonts w:ascii="Arial" w:eastAsia="Arial" w:hAnsi="Arial" w:cs="Arial"/>
          <w:color w:val="666666"/>
          <w:sz w:val="17"/>
          <w:lang w:val="en-CA"/>
        </w:rPr>
      </w:pPr>
    </w:p>
    <w:p w14:paraId="106C7F93" w14:textId="148FC52E" w:rsidR="00DD4ABB" w:rsidRPr="00DD4ABB" w:rsidRDefault="00DD4ABB" w:rsidP="00DD4ABB">
      <w:pPr>
        <w:spacing w:before="30" w:after="100"/>
        <w:jc w:val="center"/>
        <w:rPr>
          <w:lang w:val="en-CA"/>
        </w:rPr>
      </w:pPr>
      <w:r w:rsidRPr="00DD4ABB">
        <w:rPr>
          <w:rFonts w:ascii="Arial" w:eastAsia="Arial" w:hAnsi="Arial" w:cs="Arial"/>
          <w:color w:val="666666"/>
          <w:sz w:val="17"/>
          <w:lang w:val="en-CA"/>
        </w:rPr>
        <w:t xml:space="preserve">Table </w:t>
      </w:r>
      <w:proofErr w:type="gramStart"/>
      <w:r w:rsidRPr="00DD4ABB">
        <w:rPr>
          <w:rFonts w:ascii="Arial" w:eastAsia="Arial" w:hAnsi="Arial" w:cs="Arial"/>
          <w:color w:val="666666"/>
          <w:sz w:val="17"/>
          <w:lang w:val="en-CA"/>
        </w:rPr>
        <w:t>4.1  -</w:t>
      </w:r>
      <w:proofErr w:type="gramEnd"/>
      <w:r w:rsidRPr="00DD4ABB">
        <w:rPr>
          <w:rFonts w:ascii="Arial" w:eastAsia="Arial" w:hAnsi="Arial" w:cs="Arial"/>
          <w:color w:val="666666"/>
          <w:sz w:val="17"/>
          <w:lang w:val="en-CA"/>
        </w:rPr>
        <w:t xml:space="preserve">  Capital Allocation Parameters (from Capital Allocation sheet, </w:t>
      </w:r>
      <w:r w:rsidR="005058ED">
        <w:rPr>
          <w:rFonts w:ascii="Arial" w:eastAsia="Arial" w:hAnsi="Arial" w:cs="Arial"/>
          <w:color w:val="666666"/>
          <w:sz w:val="17"/>
          <w:lang w:val="en-CA"/>
        </w:rPr>
        <w:t>ACWI</w:t>
      </w:r>
      <w:r w:rsidRPr="00DD4ABB">
        <w:rPr>
          <w:rFonts w:ascii="Arial" w:eastAsia="Arial" w:hAnsi="Arial" w:cs="Arial"/>
          <w:color w:val="666666"/>
          <w:sz w:val="17"/>
          <w:lang w:val="en-CA"/>
        </w:rPr>
        <w:t>_index</w:t>
      </w:r>
      <w:r w:rsidR="005058ED">
        <w:rPr>
          <w:rFonts w:ascii="Arial" w:eastAsia="Arial" w:hAnsi="Arial" w:cs="Arial"/>
          <w:color w:val="666666"/>
          <w:sz w:val="17"/>
          <w:lang w:val="en-CA"/>
        </w:rPr>
        <w:t>_FV</w:t>
      </w:r>
      <w:r w:rsidRPr="00DD4ABB">
        <w:rPr>
          <w:rFonts w:ascii="Arial" w:eastAsia="Arial" w:hAnsi="Arial" w:cs="Arial"/>
          <w:color w:val="666666"/>
          <w:sz w:val="17"/>
          <w:lang w:val="en-CA"/>
        </w:rPr>
        <w:t xml:space="preserve">.xlsx). Risk Aversion Index A derived from risk tolerance score of </w:t>
      </w:r>
      <w:r w:rsidR="005058ED">
        <w:rPr>
          <w:rFonts w:ascii="Arial" w:eastAsia="Arial" w:hAnsi="Arial" w:cs="Arial"/>
          <w:color w:val="666666"/>
          <w:sz w:val="17"/>
          <w:lang w:val="en-CA"/>
        </w:rPr>
        <w:t>5</w:t>
      </w:r>
      <w:r w:rsidR="009909BF">
        <w:rPr>
          <w:rFonts w:ascii="Arial" w:eastAsia="Arial" w:hAnsi="Arial" w:cs="Arial"/>
          <w:color w:val="666666"/>
          <w:sz w:val="17"/>
          <w:lang w:val="en-CA"/>
        </w:rPr>
        <w:t>5</w:t>
      </w:r>
      <w:r w:rsidRPr="00DD4ABB">
        <w:rPr>
          <w:rFonts w:ascii="Arial" w:eastAsia="Arial" w:hAnsi="Arial" w:cs="Arial"/>
          <w:color w:val="666666"/>
          <w:sz w:val="17"/>
          <w:lang w:val="en-CA"/>
        </w:rPr>
        <w:t>. Source: Excel model, April 2026.</w:t>
      </w:r>
    </w:p>
    <w:p w14:paraId="70118DA2" w14:textId="253B75CB" w:rsidR="00DD4ABB" w:rsidRDefault="00DD4ABB" w:rsidP="00DD4ABB">
      <w:pPr>
        <w:rPr>
          <w:lang w:val="en-CA"/>
        </w:rPr>
      </w:pPr>
      <w:r>
        <w:rPr>
          <w:lang w:val="en-CA"/>
        </w:rPr>
        <w:t xml:space="preserve">The risk aversion index A = </w:t>
      </w:r>
      <w:r w:rsidR="009909BF">
        <w:rPr>
          <w:lang w:val="en-CA"/>
        </w:rPr>
        <w:t>9.0</w:t>
      </w:r>
      <w:r>
        <w:rPr>
          <w:lang w:val="en-CA"/>
        </w:rPr>
        <w:t xml:space="preserve"> is derived from the risk tolerance score of </w:t>
      </w:r>
      <w:r w:rsidR="005058ED">
        <w:rPr>
          <w:lang w:val="en-CA"/>
        </w:rPr>
        <w:t>5</w:t>
      </w:r>
      <w:r w:rsidR="009909BF">
        <w:rPr>
          <w:lang w:val="en-CA"/>
        </w:rPr>
        <w:t>5</w:t>
      </w:r>
      <w:r>
        <w:rPr>
          <w:lang w:val="en-CA"/>
        </w:rPr>
        <w:t xml:space="preserve"> using the Bull-market scaling convention (A range 1-20). This value reflects a client who is meaningfully risk-averse, more conservative than the average growth-oriented investor (A 4-6) but not as defensive as a capital preservation mandate (A &gt; 12). The </w:t>
      </w:r>
      <w:r>
        <w:rPr>
          <w:lang w:val="en-CA"/>
        </w:rPr>
        <w:lastRenderedPageBreak/>
        <w:t>resulting optimal risky portfolio weight y* = 0.</w:t>
      </w:r>
      <w:r w:rsidR="005058ED">
        <w:rPr>
          <w:lang w:val="en-CA"/>
        </w:rPr>
        <w:t xml:space="preserve">5569 </w:t>
      </w:r>
      <w:r>
        <w:rPr>
          <w:lang w:val="en-CA"/>
        </w:rPr>
        <w:t>is derived analytically as the utility-maximising point on the Capital Allocation Line.</w:t>
      </w:r>
    </w:p>
    <w:p w14:paraId="0CFD73F5" w14:textId="4543CC6F" w:rsidR="00DD4ABB" w:rsidRDefault="005058ED" w:rsidP="00DD4ABB">
      <w:pPr>
        <w:jc w:val="center"/>
        <w:rPr>
          <w:lang w:val="en-CA"/>
        </w:rPr>
      </w:pPr>
      <w:r>
        <w:rPr>
          <w:noProof/>
        </w:rPr>
        <w:drawing>
          <wp:inline distT="0" distB="0" distL="0" distR="0" wp14:anchorId="569915C0" wp14:editId="49E43DD1">
            <wp:extent cx="6000750" cy="3600450"/>
            <wp:effectExtent l="0" t="0" r="0" b="0"/>
            <wp:docPr id="1810062198" name="Picture 1810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000750" cy="3600450"/>
                    </a:xfrm>
                    <a:prstGeom prst="rect">
                      <a:avLst/>
                    </a:prstGeom>
                  </pic:spPr>
                </pic:pic>
              </a:graphicData>
            </a:graphic>
          </wp:inline>
        </w:drawing>
      </w:r>
    </w:p>
    <w:p w14:paraId="49DE0EAF" w14:textId="1C30AF92" w:rsidR="00DD4ABB" w:rsidRPr="005058ED" w:rsidRDefault="00DD4ABB" w:rsidP="005058ED">
      <w:pPr>
        <w:spacing w:before="30" w:after="100"/>
        <w:jc w:val="center"/>
        <w:rPr>
          <w:lang w:val="en-CA"/>
        </w:rPr>
      </w:pPr>
      <w:r w:rsidRPr="00DD4ABB">
        <w:rPr>
          <w:rFonts w:ascii="Arial" w:eastAsia="Arial" w:hAnsi="Arial" w:cs="Arial"/>
          <w:color w:val="666666"/>
          <w:sz w:val="17"/>
          <w:lang w:val="en-CA"/>
        </w:rPr>
        <w:t xml:space="preserve">Figure </w:t>
      </w:r>
      <w:proofErr w:type="gramStart"/>
      <w:r w:rsidRPr="00DD4ABB">
        <w:rPr>
          <w:rFonts w:ascii="Arial" w:eastAsia="Arial" w:hAnsi="Arial" w:cs="Arial"/>
          <w:color w:val="666666"/>
          <w:sz w:val="17"/>
          <w:lang w:val="en-CA"/>
        </w:rPr>
        <w:t>4.2  -</w:t>
      </w:r>
      <w:proofErr w:type="gramEnd"/>
      <w:r w:rsidRPr="00DD4ABB">
        <w:rPr>
          <w:rFonts w:ascii="Arial" w:eastAsia="Arial" w:hAnsi="Arial" w:cs="Arial"/>
          <w:color w:val="666666"/>
          <w:sz w:val="17"/>
          <w:lang w:val="en-CA"/>
        </w:rPr>
        <w:t xml:space="preserve">  </w:t>
      </w:r>
      <w:r w:rsidR="005058ED" w:rsidRPr="005058ED">
        <w:rPr>
          <w:rFonts w:ascii="Arial" w:eastAsia="Arial" w:hAnsi="Arial" w:cs="Arial"/>
          <w:color w:val="666666"/>
          <w:sz w:val="17"/>
          <w:lang w:val="en-CA"/>
        </w:rPr>
        <w:t>Capital Allocation Line, Optimal Complete Portfolio, and Indifference Curve. The gold diamond marks the optimal complete portfolio C where the indifference curve (A=9.0, U=9.99%) is tangent to the CAL. The green star marks the optimal risky portfolio P. Source: Capital Allocation sheet, ACWI_index_FV.xlsx.</w:t>
      </w:r>
    </w:p>
    <w:p w14:paraId="0241F1F5" w14:textId="1942F5C1" w:rsidR="00DD4ABB" w:rsidRDefault="00DD4ABB" w:rsidP="00DD4ABB">
      <w:pPr>
        <w:rPr>
          <w:lang w:val="en-CA"/>
        </w:rPr>
      </w:pPr>
      <w:r>
        <w:rPr>
          <w:lang w:val="en-CA"/>
        </w:rPr>
        <w:t>The utility function U = E(</w:t>
      </w:r>
      <w:proofErr w:type="spellStart"/>
      <w:r>
        <w:rPr>
          <w:lang w:val="en-CA"/>
        </w:rPr>
        <w:t>Rc</w:t>
      </w:r>
      <w:proofErr w:type="spellEnd"/>
      <w:r>
        <w:rPr>
          <w:lang w:val="en-CA"/>
        </w:rPr>
        <w:t xml:space="preserve">) </w:t>
      </w:r>
      <w:r w:rsidR="008A46CF">
        <w:rPr>
          <w:lang w:val="en-CA"/>
        </w:rPr>
        <w:t xml:space="preserve">– ½*A*Std.Dev^2 </w:t>
      </w:r>
      <w:r w:rsidR="008A46CF" w:rsidRPr="008A46CF">
        <w:rPr>
          <w:lang w:val="en-CA"/>
        </w:rPr>
        <w:t>is ma</w:t>
      </w:r>
      <w:r w:rsidR="008A46CF">
        <w:rPr>
          <w:lang w:val="en-CA"/>
        </w:rPr>
        <w:t>ximised at y* = 0.5</w:t>
      </w:r>
      <w:r w:rsidR="005058ED">
        <w:rPr>
          <w:lang w:val="en-CA"/>
        </w:rPr>
        <w:t>569</w:t>
      </w:r>
      <w:r w:rsidR="008A46CF">
        <w:rPr>
          <w:lang w:val="en-CA"/>
        </w:rPr>
        <w:t xml:space="preserve">. </w:t>
      </w:r>
      <w:r w:rsidR="005058ED" w:rsidRPr="005058ED">
        <w:rPr>
          <w:lang w:val="en-CA"/>
        </w:rPr>
        <w:t>yielding an expected complete portfolio return of 18.61% and a standard deviation of 12.32%. This means that 44.31% of Minh Tri's investable capital is held in T-Bills (or the TLT investment-grade bond ETF), providing a meaningful capital protection floor that is explicitly sized to the client's risk tolerance</w:t>
      </w:r>
      <w:r w:rsidR="005058ED">
        <w:rPr>
          <w:lang w:val="en-CA"/>
        </w:rPr>
        <w:t xml:space="preserve">, </w:t>
      </w:r>
      <w:r w:rsidR="005058ED" w:rsidRPr="005058ED">
        <w:rPr>
          <w:lang w:val="en-CA"/>
        </w:rPr>
        <w:t>not arbitrarily chosen. The CAL slope (Sharpe ratio) of 1.109 confirms that each unit of risk taken in the risky portfolio is compensated with over one unit of excess return, an exceptional risk-adjusted profile.</w:t>
      </w:r>
    </w:p>
    <w:p w14:paraId="1AA92DB5" w14:textId="3807BEE1" w:rsidR="00D644C9" w:rsidRDefault="00D644C9" w:rsidP="00D644C9">
      <w:pPr>
        <w:pStyle w:val="Heading3"/>
      </w:pPr>
      <w:bookmarkStart w:id="29" w:name="_Toc227618165"/>
      <w:r>
        <w:t>4.</w:t>
      </w:r>
      <w:r>
        <w:t>3 Asset Class Allocation: Bond Portfolio</w:t>
      </w:r>
      <w:bookmarkEnd w:id="29"/>
    </w:p>
    <w:p w14:paraId="3BB97A2D" w14:textId="5590EF6E" w:rsidR="005058ED" w:rsidRDefault="00D644C9" w:rsidP="00DD4ABB">
      <w:pPr>
        <w:rPr>
          <w:lang w:val="en-CA"/>
        </w:rPr>
      </w:pPr>
      <w:r>
        <w:rPr>
          <w:lang w:val="en-CA"/>
        </w:rPr>
        <w:t>At the asset class level, the model evaluates the optimal mix of a Bond Portfolio (</w:t>
      </w:r>
      <w:proofErr w:type="spellStart"/>
      <w:r>
        <w:rPr>
          <w:lang w:val="en-CA"/>
        </w:rPr>
        <w:t>Pf</w:t>
      </w:r>
      <w:proofErr w:type="spellEnd"/>
      <w:r>
        <w:rPr>
          <w:lang w:val="en-CA"/>
        </w:rPr>
        <w:t xml:space="preserve"> B, represented by TLT) and the Equity Portfolio (</w:t>
      </w:r>
      <w:proofErr w:type="spellStart"/>
      <w:r>
        <w:rPr>
          <w:lang w:val="en-CA"/>
        </w:rPr>
        <w:t>Pf</w:t>
      </w:r>
      <w:proofErr w:type="spellEnd"/>
      <w:r>
        <w:rPr>
          <w:lang w:val="en-CA"/>
        </w:rPr>
        <w:t xml:space="preserve"> E, the </w:t>
      </w:r>
      <w:r w:rsidR="005058ED" w:rsidRPr="005058ED">
        <w:rPr>
          <w:lang w:val="en-CA"/>
        </w:rPr>
        <w:t xml:space="preserve">AI-Energy Nexus </w:t>
      </w:r>
      <w:r>
        <w:rPr>
          <w:lang w:val="en-CA"/>
        </w:rPr>
        <w:t>strategy). The Optimal Risky Portfolio maximisation (Panel B, Asset Classes sheet</w:t>
      </w:r>
      <w:r w:rsidRPr="00D644C9">
        <w:rPr>
          <w:lang w:val="en-CA"/>
        </w:rPr>
        <w:t>) yields a 100% equity allocation within the risky sleeve under the no-short constraint</w:t>
      </w:r>
      <w:r>
        <w:rPr>
          <w:lang w:val="en-CA"/>
        </w:rPr>
        <w:t xml:space="preserve">, </w:t>
      </w:r>
      <w:r w:rsidRPr="00D644C9">
        <w:rPr>
          <w:lang w:val="en-CA"/>
        </w:rPr>
        <w:t xml:space="preserve">the Bond Portfolio is instead deployed as the risk-free asset substitute rather than as a risky allocation. This is consistent with the model's finding that the equity </w:t>
      </w:r>
      <w:r w:rsidR="005058ED" w:rsidRPr="005058ED">
        <w:rPr>
          <w:lang w:val="en-CA"/>
        </w:rPr>
        <w:t>AI-Energy Nexus</w:t>
      </w:r>
      <w:r w:rsidRPr="00D644C9">
        <w:rPr>
          <w:lang w:val="en-CA"/>
        </w:rPr>
        <w:t xml:space="preserve"> strategy dominates the bond portfolio on the efficient frontier at the Sharpe-maximising point.</w:t>
      </w:r>
    </w:p>
    <w:p w14:paraId="2640D626" w14:textId="77777777" w:rsidR="005058ED" w:rsidRDefault="005058ED" w:rsidP="0040102C">
      <w:pPr>
        <w:pStyle w:val="Heading4"/>
      </w:pPr>
    </w:p>
    <w:p w14:paraId="40E8E1F1" w14:textId="77777777" w:rsidR="005058ED" w:rsidRDefault="005058ED" w:rsidP="0040102C">
      <w:pPr>
        <w:pStyle w:val="Heading4"/>
      </w:pPr>
    </w:p>
    <w:p w14:paraId="06B898A8" w14:textId="77777777" w:rsidR="005058ED" w:rsidRDefault="005058ED" w:rsidP="0040102C">
      <w:pPr>
        <w:pStyle w:val="Heading4"/>
      </w:pPr>
    </w:p>
    <w:p w14:paraId="0DE8494D" w14:textId="77777777" w:rsidR="005058ED" w:rsidRDefault="005058ED" w:rsidP="0040102C">
      <w:pPr>
        <w:pStyle w:val="Heading4"/>
      </w:pPr>
    </w:p>
    <w:p w14:paraId="689A3A89" w14:textId="77777777" w:rsidR="005058ED" w:rsidRDefault="005058ED" w:rsidP="0040102C">
      <w:pPr>
        <w:pStyle w:val="Heading4"/>
      </w:pPr>
    </w:p>
    <w:p w14:paraId="319656B0" w14:textId="77777777" w:rsidR="005058ED" w:rsidRPr="005058ED" w:rsidRDefault="005058ED" w:rsidP="005058ED">
      <w:pPr>
        <w:rPr>
          <w:lang w:val="en-CA"/>
        </w:rPr>
      </w:pPr>
    </w:p>
    <w:p w14:paraId="3A530E0E" w14:textId="3FFD0449" w:rsidR="0040102C" w:rsidRDefault="0040102C" w:rsidP="0040102C">
      <w:pPr>
        <w:pStyle w:val="Heading4"/>
      </w:pPr>
      <w:r>
        <w:lastRenderedPageBreak/>
        <w:t>4</w:t>
      </w:r>
      <w:r>
        <w:t>.</w:t>
      </w:r>
      <w:r>
        <w:t>3</w:t>
      </w:r>
      <w:r>
        <w:t>.1 B</w:t>
      </w:r>
      <w:r>
        <w:t>ond Portfolio – TLT Duration &amp; Convexity Analysis</w:t>
      </w:r>
    </w:p>
    <w:p w14:paraId="0003D787" w14:textId="65653CBB" w:rsidR="0040102C" w:rsidRDefault="0040102C" w:rsidP="0040102C">
      <w:pPr>
        <w:rPr>
          <w:lang w:val="en-CA"/>
        </w:rPr>
      </w:pPr>
      <w:r>
        <w:rPr>
          <w:lang w:val="en-CA"/>
        </w:rPr>
        <w:t>The bond component of the portfolio (</w:t>
      </w:r>
      <w:r w:rsidRPr="0040102C">
        <w:rPr>
          <w:lang w:val="en-CA"/>
        </w:rPr>
        <w:t>held as the 45.06% risk-free buffer) is represented by the iShares 20+ Year Treasury Bond ETF (TLT). The following table presents the complete duration and convexity analysis derived from the Data. Bond Duration &amp; Convexity sheet</w:t>
      </w:r>
      <w:r w:rsidR="005058ED">
        <w:rPr>
          <w:lang w:val="en-CA"/>
        </w:rPr>
        <w:t>.</w:t>
      </w:r>
    </w:p>
    <w:p w14:paraId="1D210E5C" w14:textId="77777777" w:rsidR="0040102C" w:rsidRDefault="0040102C" w:rsidP="0040102C">
      <w:pPr>
        <w:rPr>
          <w:lang w:val="en-CA"/>
        </w:rPr>
      </w:pPr>
    </w:p>
    <w:tbl>
      <w:tblPr>
        <w:tblW w:w="9360" w:type="dxa"/>
        <w:jc w:val="center"/>
        <w:tblCellMar>
          <w:left w:w="10" w:type="dxa"/>
          <w:right w:w="10" w:type="dxa"/>
        </w:tblCellMar>
        <w:tblLook w:val="04A0" w:firstRow="1" w:lastRow="0" w:firstColumn="1" w:lastColumn="0" w:noHBand="0" w:noVBand="1"/>
      </w:tblPr>
      <w:tblGrid>
        <w:gridCol w:w="3120"/>
        <w:gridCol w:w="2160"/>
        <w:gridCol w:w="2160"/>
        <w:gridCol w:w="1920"/>
      </w:tblGrid>
      <w:tr w:rsidR="009909BF" w14:paraId="22B11D12" w14:textId="77777777" w:rsidTr="009909BF">
        <w:tblPrEx>
          <w:tblCellMar>
            <w:top w:w="0" w:type="dxa"/>
            <w:bottom w:w="0" w:type="dxa"/>
          </w:tblCellMar>
        </w:tblPrEx>
        <w:trPr>
          <w:jc w:val="center"/>
        </w:trPr>
        <w:tc>
          <w:tcPr>
            <w:tcW w:w="31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A0BB909" w14:textId="77777777" w:rsidR="009909BF" w:rsidRDefault="009909BF" w:rsidP="00155891">
            <w:pPr>
              <w:jc w:val="center"/>
            </w:pPr>
            <w:proofErr w:type="spellStart"/>
            <w:r>
              <w:rPr>
                <w:rFonts w:ascii="Arial" w:hAnsi="Arial"/>
                <w:b/>
                <w:color w:val="FFFFFF"/>
                <w:sz w:val="18"/>
              </w:rPr>
              <w:t>Characteristic</w:t>
            </w:r>
            <w:proofErr w:type="spellEnd"/>
          </w:p>
        </w:tc>
        <w:tc>
          <w:tcPr>
            <w:tcW w:w="216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EC653CD" w14:textId="77777777" w:rsidR="009909BF" w:rsidRDefault="009909BF" w:rsidP="00155891">
            <w:pPr>
              <w:jc w:val="center"/>
            </w:pPr>
            <w:r>
              <w:rPr>
                <w:rFonts w:ascii="Arial" w:hAnsi="Arial"/>
                <w:b/>
                <w:color w:val="FFFFFF"/>
                <w:sz w:val="18"/>
              </w:rPr>
              <w:t>Value</w:t>
            </w:r>
          </w:p>
        </w:tc>
        <w:tc>
          <w:tcPr>
            <w:tcW w:w="216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4989CEE4" w14:textId="77777777" w:rsidR="009909BF" w:rsidRDefault="009909BF" w:rsidP="00155891">
            <w:pPr>
              <w:jc w:val="center"/>
            </w:pPr>
            <w:r>
              <w:rPr>
                <w:rFonts w:ascii="Arial" w:hAnsi="Arial"/>
                <w:b/>
                <w:color w:val="FFFFFF"/>
                <w:sz w:val="18"/>
              </w:rPr>
              <w:t>Risk Implication</w:t>
            </w:r>
          </w:p>
        </w:tc>
        <w:tc>
          <w:tcPr>
            <w:tcW w:w="19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46D2DE90" w14:textId="77777777" w:rsidR="009909BF" w:rsidRDefault="009909BF" w:rsidP="00155891">
            <w:pPr>
              <w:jc w:val="center"/>
            </w:pPr>
            <w:r>
              <w:rPr>
                <w:rFonts w:ascii="Arial" w:hAnsi="Arial"/>
                <w:b/>
                <w:color w:val="FFFFFF"/>
                <w:sz w:val="18"/>
              </w:rPr>
              <w:t xml:space="preserve">Portfolio </w:t>
            </w:r>
            <w:proofErr w:type="spellStart"/>
            <w:r>
              <w:rPr>
                <w:rFonts w:ascii="Arial" w:hAnsi="Arial"/>
                <w:b/>
                <w:color w:val="FFFFFF"/>
                <w:sz w:val="18"/>
              </w:rPr>
              <w:t>Role</w:t>
            </w:r>
            <w:proofErr w:type="spellEnd"/>
          </w:p>
        </w:tc>
      </w:tr>
      <w:tr w:rsidR="009909BF" w:rsidRPr="009909BF" w14:paraId="47235AFA"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FB4FE72" w14:textId="77777777" w:rsidR="009909BF" w:rsidRDefault="009909BF" w:rsidP="00155891">
            <w:pPr>
              <w:jc w:val="center"/>
            </w:pPr>
            <w:r>
              <w:rPr>
                <w:rFonts w:ascii="Arial" w:hAnsi="Arial"/>
                <w:b/>
                <w:color w:val="2C2C2C"/>
                <w:sz w:val="19"/>
              </w:rPr>
              <w:t>Instrument</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D92637B" w14:textId="77777777" w:rsidR="009909BF" w:rsidRPr="009909BF" w:rsidRDefault="009909BF" w:rsidP="00155891">
            <w:pPr>
              <w:jc w:val="center"/>
              <w:rPr>
                <w:lang w:val="en-CA"/>
              </w:rPr>
            </w:pPr>
            <w:r w:rsidRPr="009909BF">
              <w:rPr>
                <w:rFonts w:ascii="Arial" w:hAnsi="Arial"/>
                <w:color w:val="2C2C2C"/>
                <w:sz w:val="19"/>
                <w:lang w:val="en-CA"/>
              </w:rPr>
              <w:t>iShares 20+ Year Treasury Bond ETF (TLT)</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3FF607D" w14:textId="77777777" w:rsidR="009909BF" w:rsidRPr="009909BF" w:rsidRDefault="009909BF" w:rsidP="00155891">
            <w:pPr>
              <w:jc w:val="center"/>
              <w:rPr>
                <w:lang w:val="en-CA"/>
              </w:rPr>
            </w:pPr>
            <w:r w:rsidRPr="009909BF">
              <w:rPr>
                <w:rFonts w:ascii="Arial" w:hAnsi="Arial"/>
                <w:color w:val="2C2C2C"/>
                <w:sz w:val="19"/>
                <w:lang w:val="en-CA"/>
              </w:rPr>
              <w:t>Pure US Treasury; zero credit risk</w:t>
            </w:r>
          </w:p>
        </w:tc>
        <w:tc>
          <w:tcPr>
            <w:tcW w:w="1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7259074" w14:textId="77777777" w:rsidR="009909BF" w:rsidRPr="009909BF" w:rsidRDefault="009909BF" w:rsidP="00155891">
            <w:pPr>
              <w:jc w:val="center"/>
              <w:rPr>
                <w:lang w:val="en-CA"/>
              </w:rPr>
            </w:pPr>
            <w:r w:rsidRPr="009909BF">
              <w:rPr>
                <w:rFonts w:ascii="Arial" w:hAnsi="Arial"/>
                <w:color w:val="2C2C2C"/>
                <w:sz w:val="19"/>
                <w:lang w:val="en-CA"/>
              </w:rPr>
              <w:t>Risk-free proxy for bond sleeve</w:t>
            </w:r>
          </w:p>
        </w:tc>
      </w:tr>
      <w:tr w:rsidR="009909BF" w14:paraId="3E6BF390"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2660270" w14:textId="77777777" w:rsidR="009909BF" w:rsidRDefault="009909BF" w:rsidP="00155891">
            <w:pPr>
              <w:jc w:val="center"/>
            </w:pPr>
            <w:proofErr w:type="spellStart"/>
            <w:r>
              <w:rPr>
                <w:rFonts w:ascii="Arial" w:hAnsi="Arial"/>
                <w:b/>
                <w:color w:val="2C2C2C"/>
                <w:sz w:val="19"/>
              </w:rPr>
              <w:t>Maturity</w:t>
            </w:r>
            <w:proofErr w:type="spellEnd"/>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E783F75" w14:textId="77777777" w:rsidR="009909BF" w:rsidRDefault="009909BF" w:rsidP="00155891">
            <w:pPr>
              <w:jc w:val="center"/>
            </w:pPr>
            <w:r>
              <w:rPr>
                <w:rFonts w:ascii="Arial" w:hAnsi="Arial"/>
                <w:color w:val="2C2C2C"/>
                <w:sz w:val="19"/>
              </w:rPr>
              <w:t xml:space="preserve">25.8 </w:t>
            </w:r>
            <w:proofErr w:type="spellStart"/>
            <w:r>
              <w:rPr>
                <w:rFonts w:ascii="Arial" w:hAnsi="Arial"/>
                <w:color w:val="2C2C2C"/>
                <w:sz w:val="19"/>
              </w:rPr>
              <w:t>years</w:t>
            </w:r>
            <w:proofErr w:type="spellEnd"/>
            <w:r>
              <w:rPr>
                <w:rFonts w:ascii="Arial" w:hAnsi="Arial"/>
                <w:color w:val="2C2C2C"/>
                <w:sz w:val="19"/>
              </w:rPr>
              <w:t xml:space="preserve"> (effective)</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6272AE5" w14:textId="77777777" w:rsidR="009909BF" w:rsidRDefault="009909BF" w:rsidP="00155891">
            <w:pPr>
              <w:jc w:val="center"/>
            </w:pPr>
            <w:r>
              <w:rPr>
                <w:rFonts w:ascii="Arial" w:hAnsi="Arial"/>
                <w:color w:val="2C2C2C"/>
                <w:sz w:val="19"/>
              </w:rPr>
              <w:t>Long duration</w:t>
            </w:r>
          </w:p>
        </w:tc>
        <w:tc>
          <w:tcPr>
            <w:tcW w:w="1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7A5604C" w14:textId="77777777" w:rsidR="009909BF" w:rsidRDefault="009909BF" w:rsidP="00155891">
            <w:pPr>
              <w:jc w:val="center"/>
            </w:pPr>
            <w:r>
              <w:rPr>
                <w:rFonts w:ascii="Arial" w:hAnsi="Arial"/>
                <w:color w:val="2C2C2C"/>
                <w:sz w:val="19"/>
              </w:rPr>
              <w:t>Maximum rate-</w:t>
            </w:r>
            <w:proofErr w:type="spellStart"/>
            <w:r>
              <w:rPr>
                <w:rFonts w:ascii="Arial" w:hAnsi="Arial"/>
                <w:color w:val="2C2C2C"/>
                <w:sz w:val="19"/>
              </w:rPr>
              <w:t>cut</w:t>
            </w:r>
            <w:proofErr w:type="spellEnd"/>
            <w:r>
              <w:rPr>
                <w:rFonts w:ascii="Arial" w:hAnsi="Arial"/>
                <w:color w:val="2C2C2C"/>
                <w:sz w:val="19"/>
              </w:rPr>
              <w:t xml:space="preserve"> </w:t>
            </w:r>
            <w:proofErr w:type="spellStart"/>
            <w:r>
              <w:rPr>
                <w:rFonts w:ascii="Arial" w:hAnsi="Arial"/>
                <w:color w:val="2C2C2C"/>
                <w:sz w:val="19"/>
              </w:rPr>
              <w:t>leverage</w:t>
            </w:r>
            <w:proofErr w:type="spellEnd"/>
          </w:p>
        </w:tc>
      </w:tr>
      <w:tr w:rsidR="009909BF" w:rsidRPr="009909BF" w14:paraId="2CF193C5"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E6BBEBE" w14:textId="77777777" w:rsidR="009909BF" w:rsidRDefault="009909BF" w:rsidP="00155891">
            <w:pPr>
              <w:jc w:val="center"/>
            </w:pPr>
            <w:r>
              <w:rPr>
                <w:rFonts w:ascii="Arial" w:hAnsi="Arial"/>
                <w:b/>
                <w:color w:val="2C2C2C"/>
                <w:sz w:val="19"/>
              </w:rPr>
              <w:t>Coupon Rate</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6815A4A" w14:textId="77777777" w:rsidR="009909BF" w:rsidRDefault="009909BF" w:rsidP="00155891">
            <w:pPr>
              <w:jc w:val="center"/>
            </w:pPr>
            <w:r>
              <w:rPr>
                <w:rFonts w:ascii="Arial" w:hAnsi="Arial"/>
                <w:color w:val="2C2C2C"/>
                <w:sz w:val="19"/>
              </w:rPr>
              <w:t>3.42% (</w:t>
            </w:r>
            <w:proofErr w:type="spellStart"/>
            <w:r>
              <w:rPr>
                <w:rFonts w:ascii="Arial" w:hAnsi="Arial"/>
                <w:color w:val="2C2C2C"/>
                <w:sz w:val="19"/>
              </w:rPr>
              <w:t>monthly</w:t>
            </w:r>
            <w:proofErr w:type="spellEnd"/>
            <w:r>
              <w:rPr>
                <w:rFonts w:ascii="Arial" w:hAnsi="Arial"/>
                <w:color w:val="2C2C2C"/>
                <w:sz w:val="19"/>
              </w:rPr>
              <w:t xml:space="preserve"> </w:t>
            </w:r>
            <w:proofErr w:type="spellStart"/>
            <w:r>
              <w:rPr>
                <w:rFonts w:ascii="Arial" w:hAnsi="Arial"/>
                <w:color w:val="2C2C2C"/>
                <w:sz w:val="19"/>
              </w:rPr>
              <w:t>payments</w:t>
            </w:r>
            <w:proofErr w:type="spellEnd"/>
            <w:r>
              <w:rPr>
                <w:rFonts w:ascii="Arial" w:hAnsi="Arial"/>
                <w:color w:val="2C2C2C"/>
                <w:sz w:val="19"/>
              </w:rPr>
              <w:t>)</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B71857F" w14:textId="77777777" w:rsidR="009909BF" w:rsidRPr="009909BF" w:rsidRDefault="009909BF" w:rsidP="00155891">
            <w:pPr>
              <w:jc w:val="center"/>
              <w:rPr>
                <w:lang w:val="en-CA"/>
              </w:rPr>
            </w:pPr>
            <w:r w:rsidRPr="009909BF">
              <w:rPr>
                <w:rFonts w:ascii="Arial" w:hAnsi="Arial"/>
                <w:color w:val="2C2C2C"/>
                <w:sz w:val="19"/>
                <w:lang w:val="en-CA"/>
              </w:rPr>
              <w:t>Below YTM → priced at discount</w:t>
            </w:r>
          </w:p>
        </w:tc>
        <w:tc>
          <w:tcPr>
            <w:tcW w:w="1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D1B5751" w14:textId="77777777" w:rsidR="009909BF" w:rsidRPr="009909BF" w:rsidRDefault="009909BF" w:rsidP="00155891">
            <w:pPr>
              <w:jc w:val="center"/>
              <w:rPr>
                <w:lang w:val="en-CA"/>
              </w:rPr>
            </w:pPr>
            <w:r w:rsidRPr="009909BF">
              <w:rPr>
                <w:rFonts w:ascii="Arial" w:hAnsi="Arial"/>
                <w:color w:val="2C2C2C"/>
                <w:sz w:val="19"/>
                <w:lang w:val="en-CA"/>
              </w:rPr>
              <w:t>Monthly income enhances cash flow</w:t>
            </w:r>
          </w:p>
        </w:tc>
      </w:tr>
      <w:tr w:rsidR="009909BF" w:rsidRPr="009909BF" w14:paraId="2F182D93"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ABEC222" w14:textId="77777777" w:rsidR="009909BF" w:rsidRDefault="009909BF" w:rsidP="00155891">
            <w:pPr>
              <w:jc w:val="center"/>
            </w:pPr>
            <w:proofErr w:type="spellStart"/>
            <w:r>
              <w:rPr>
                <w:rFonts w:ascii="Arial" w:hAnsi="Arial"/>
                <w:b/>
                <w:color w:val="2C2C2C"/>
                <w:sz w:val="19"/>
              </w:rPr>
              <w:t>Yield</w:t>
            </w:r>
            <w:proofErr w:type="spellEnd"/>
            <w:r>
              <w:rPr>
                <w:rFonts w:ascii="Arial" w:hAnsi="Arial"/>
                <w:b/>
                <w:color w:val="2C2C2C"/>
                <w:sz w:val="19"/>
              </w:rPr>
              <w:t xml:space="preserve"> to </w:t>
            </w:r>
            <w:proofErr w:type="spellStart"/>
            <w:r>
              <w:rPr>
                <w:rFonts w:ascii="Arial" w:hAnsi="Arial"/>
                <w:b/>
                <w:color w:val="2C2C2C"/>
                <w:sz w:val="19"/>
              </w:rPr>
              <w:t>Maturity</w:t>
            </w:r>
            <w:proofErr w:type="spellEnd"/>
            <w:r>
              <w:rPr>
                <w:rFonts w:ascii="Arial" w:hAnsi="Arial"/>
                <w:b/>
                <w:color w:val="2C2C2C"/>
                <w:sz w:val="19"/>
              </w:rPr>
              <w:t xml:space="preserve"> (YTM)</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32A7CD4" w14:textId="77777777" w:rsidR="009909BF" w:rsidRDefault="009909BF" w:rsidP="00155891">
            <w:pPr>
              <w:jc w:val="center"/>
            </w:pPr>
            <w:r>
              <w:rPr>
                <w:rFonts w:ascii="Arial" w:hAnsi="Arial"/>
                <w:color w:val="2C2C2C"/>
                <w:sz w:val="19"/>
              </w:rPr>
              <w:t>4.95%</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00388C3" w14:textId="77777777" w:rsidR="009909BF" w:rsidRPr="009909BF" w:rsidRDefault="009909BF" w:rsidP="00155891">
            <w:pPr>
              <w:jc w:val="center"/>
              <w:rPr>
                <w:lang w:val="en-CA"/>
              </w:rPr>
            </w:pPr>
            <w:r w:rsidRPr="009909BF">
              <w:rPr>
                <w:rFonts w:ascii="Arial" w:hAnsi="Arial"/>
                <w:color w:val="2C2C2C"/>
                <w:sz w:val="19"/>
                <w:lang w:val="en-CA"/>
              </w:rPr>
              <w:t>Equals risk-free rate; yield pickup = 0</w:t>
            </w:r>
          </w:p>
        </w:tc>
        <w:tc>
          <w:tcPr>
            <w:tcW w:w="1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2A28014" w14:textId="77777777" w:rsidR="009909BF" w:rsidRPr="009909BF" w:rsidRDefault="009909BF" w:rsidP="00155891">
            <w:pPr>
              <w:jc w:val="center"/>
              <w:rPr>
                <w:lang w:val="en-CA"/>
              </w:rPr>
            </w:pPr>
            <w:r w:rsidRPr="009909BF">
              <w:rPr>
                <w:rFonts w:ascii="Arial" w:hAnsi="Arial"/>
                <w:color w:val="2C2C2C"/>
                <w:sz w:val="19"/>
                <w:lang w:val="en-CA"/>
              </w:rPr>
              <w:t>TLT functions as rf proxy with upside optionality</w:t>
            </w:r>
          </w:p>
        </w:tc>
      </w:tr>
      <w:tr w:rsidR="009909BF" w:rsidRPr="009909BF" w14:paraId="681E9C9B"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D991D9F" w14:textId="77777777" w:rsidR="009909BF" w:rsidRDefault="009909BF" w:rsidP="00155891">
            <w:pPr>
              <w:jc w:val="center"/>
            </w:pPr>
            <w:r>
              <w:rPr>
                <w:rFonts w:ascii="Arial" w:hAnsi="Arial"/>
                <w:b/>
                <w:color w:val="2C2C2C"/>
                <w:sz w:val="19"/>
              </w:rPr>
              <w:t>Current Price</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612369B" w14:textId="77777777" w:rsidR="009909BF" w:rsidRDefault="009909BF" w:rsidP="00155891">
            <w:pPr>
              <w:jc w:val="center"/>
            </w:pPr>
            <w:r>
              <w:rPr>
                <w:rFonts w:ascii="Arial" w:hAnsi="Arial"/>
                <w:color w:val="2C2C2C"/>
                <w:sz w:val="19"/>
              </w:rPr>
              <w:t>$86.83 (per $100 par)</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3C5839F" w14:textId="77777777" w:rsidR="009909BF" w:rsidRPr="009909BF" w:rsidRDefault="009909BF" w:rsidP="00155891">
            <w:pPr>
              <w:jc w:val="center"/>
              <w:rPr>
                <w:lang w:val="en-CA"/>
              </w:rPr>
            </w:pPr>
            <w:r w:rsidRPr="009909BF">
              <w:rPr>
                <w:rFonts w:ascii="Arial" w:hAnsi="Arial"/>
                <w:color w:val="2C2C2C"/>
                <w:sz w:val="19"/>
                <w:lang w:val="en-CA"/>
              </w:rPr>
              <w:t>Deep discount of $13.17; significant capital upside</w:t>
            </w:r>
          </w:p>
        </w:tc>
        <w:tc>
          <w:tcPr>
            <w:tcW w:w="1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B571DCA" w14:textId="4726E1F9" w:rsidR="009909BF" w:rsidRPr="009909BF" w:rsidRDefault="009909BF" w:rsidP="00155891">
            <w:pPr>
              <w:jc w:val="center"/>
              <w:rPr>
                <w:lang w:val="en-CA"/>
              </w:rPr>
            </w:pPr>
            <w:r w:rsidRPr="009909BF">
              <w:rPr>
                <w:rFonts w:ascii="Arial" w:hAnsi="Arial"/>
                <w:color w:val="2C2C2C"/>
                <w:sz w:val="19"/>
                <w:lang w:val="en-CA"/>
              </w:rPr>
              <w:t>Asymmetric upside if Fed/</w:t>
            </w:r>
            <w:proofErr w:type="spellStart"/>
            <w:r w:rsidRPr="009909BF">
              <w:rPr>
                <w:rFonts w:ascii="Arial" w:hAnsi="Arial"/>
                <w:color w:val="2C2C2C"/>
                <w:sz w:val="19"/>
                <w:lang w:val="en-CA"/>
              </w:rPr>
              <w:t>Bo</w:t>
            </w:r>
            <w:r w:rsidR="00175B2B">
              <w:rPr>
                <w:rFonts w:ascii="Arial" w:hAnsi="Arial"/>
                <w:color w:val="2C2C2C"/>
                <w:sz w:val="19"/>
                <w:lang w:val="en-CA"/>
              </w:rPr>
              <w:t>A</w:t>
            </w:r>
            <w:proofErr w:type="spellEnd"/>
            <w:r w:rsidRPr="009909BF">
              <w:rPr>
                <w:rFonts w:ascii="Arial" w:hAnsi="Arial"/>
                <w:color w:val="2C2C2C"/>
                <w:sz w:val="19"/>
                <w:lang w:val="en-CA"/>
              </w:rPr>
              <w:t xml:space="preserve"> cuts rates</w:t>
            </w:r>
          </w:p>
        </w:tc>
      </w:tr>
      <w:tr w:rsidR="009909BF" w:rsidRPr="009909BF" w14:paraId="3F1B0B47"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96AD86C" w14:textId="77777777" w:rsidR="009909BF" w:rsidRDefault="009909BF" w:rsidP="00155891">
            <w:pPr>
              <w:jc w:val="center"/>
            </w:pPr>
            <w:proofErr w:type="spellStart"/>
            <w:r>
              <w:rPr>
                <w:rFonts w:ascii="Arial" w:hAnsi="Arial"/>
                <w:b/>
                <w:color w:val="2C2C2C"/>
                <w:sz w:val="19"/>
              </w:rPr>
              <w:t>Modified</w:t>
            </w:r>
            <w:proofErr w:type="spellEnd"/>
            <w:r>
              <w:rPr>
                <w:rFonts w:ascii="Arial" w:hAnsi="Arial"/>
                <w:b/>
                <w:color w:val="2C2C2C"/>
                <w:sz w:val="19"/>
              </w:rPr>
              <w:t xml:space="preserve"> Duration (D*)</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2FD9994" w14:textId="77777777" w:rsidR="009909BF" w:rsidRDefault="009909BF" w:rsidP="00155891">
            <w:pPr>
              <w:jc w:val="center"/>
            </w:pPr>
            <w:r>
              <w:rPr>
                <w:rFonts w:ascii="Arial" w:hAnsi="Arial"/>
                <w:color w:val="2C2C2C"/>
                <w:sz w:val="19"/>
              </w:rPr>
              <w:t xml:space="preserve">15.43 </w:t>
            </w:r>
            <w:proofErr w:type="spellStart"/>
            <w:r>
              <w:rPr>
                <w:rFonts w:ascii="Arial" w:hAnsi="Arial"/>
                <w:color w:val="2C2C2C"/>
                <w:sz w:val="19"/>
              </w:rPr>
              <w:t>years</w:t>
            </w:r>
            <w:proofErr w:type="spellEnd"/>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5F97D49" w14:textId="77777777" w:rsidR="009909BF" w:rsidRPr="009909BF" w:rsidRDefault="009909BF" w:rsidP="00155891">
            <w:pPr>
              <w:jc w:val="center"/>
              <w:rPr>
                <w:lang w:val="en-CA"/>
              </w:rPr>
            </w:pPr>
            <w:r w:rsidRPr="009909BF">
              <w:rPr>
                <w:rFonts w:ascii="Arial" w:hAnsi="Arial"/>
                <w:color w:val="2C2C2C"/>
                <w:sz w:val="19"/>
                <w:lang w:val="en-CA"/>
              </w:rPr>
              <w:t>~15.43% price change per 100bps rate move</w:t>
            </w:r>
          </w:p>
        </w:tc>
        <w:tc>
          <w:tcPr>
            <w:tcW w:w="1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F482E09" w14:textId="60EEAC3C" w:rsidR="009909BF" w:rsidRPr="009909BF" w:rsidRDefault="009909BF" w:rsidP="00155891">
            <w:pPr>
              <w:jc w:val="center"/>
              <w:rPr>
                <w:lang w:val="en-CA"/>
              </w:rPr>
            </w:pPr>
            <w:r w:rsidRPr="009909BF">
              <w:rPr>
                <w:rFonts w:ascii="Arial" w:hAnsi="Arial"/>
                <w:color w:val="2C2C2C"/>
                <w:sz w:val="19"/>
                <w:lang w:val="en-CA"/>
              </w:rPr>
              <w:t>Rate sensitivity monitored via Fed/</w:t>
            </w:r>
            <w:proofErr w:type="spellStart"/>
            <w:r w:rsidRPr="009909BF">
              <w:rPr>
                <w:rFonts w:ascii="Arial" w:hAnsi="Arial"/>
                <w:color w:val="2C2C2C"/>
                <w:sz w:val="19"/>
                <w:lang w:val="en-CA"/>
              </w:rPr>
              <w:t>Bo</w:t>
            </w:r>
            <w:r w:rsidR="00175B2B">
              <w:rPr>
                <w:rFonts w:ascii="Arial" w:hAnsi="Arial"/>
                <w:color w:val="2C2C2C"/>
                <w:sz w:val="19"/>
                <w:lang w:val="en-CA"/>
              </w:rPr>
              <w:t>A</w:t>
            </w:r>
            <w:proofErr w:type="spellEnd"/>
            <w:r w:rsidRPr="009909BF">
              <w:rPr>
                <w:rFonts w:ascii="Arial" w:hAnsi="Arial"/>
                <w:color w:val="2C2C2C"/>
                <w:sz w:val="19"/>
                <w:lang w:val="en-CA"/>
              </w:rPr>
              <w:t xml:space="preserve"> communications</w:t>
            </w:r>
          </w:p>
        </w:tc>
      </w:tr>
      <w:tr w:rsidR="009909BF" w:rsidRPr="009909BF" w14:paraId="164658A3"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B8C6DF3" w14:textId="77777777" w:rsidR="009909BF" w:rsidRDefault="009909BF" w:rsidP="00155891">
            <w:pPr>
              <w:jc w:val="center"/>
            </w:pPr>
            <w:proofErr w:type="spellStart"/>
            <w:r>
              <w:rPr>
                <w:rFonts w:ascii="Arial" w:hAnsi="Arial"/>
                <w:b/>
                <w:color w:val="2C2C2C"/>
                <w:sz w:val="19"/>
              </w:rPr>
              <w:t>Convexity</w:t>
            </w:r>
            <w:proofErr w:type="spellEnd"/>
            <w:r>
              <w:rPr>
                <w:rFonts w:ascii="Arial" w:hAnsi="Arial"/>
                <w:b/>
                <w:color w:val="2C2C2C"/>
                <w:sz w:val="19"/>
              </w:rPr>
              <w:t xml:space="preserve"> (C)</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562BDE0" w14:textId="77777777" w:rsidR="009909BF" w:rsidRDefault="009909BF" w:rsidP="00155891">
            <w:pPr>
              <w:jc w:val="center"/>
            </w:pPr>
            <w:r>
              <w:rPr>
                <w:rFonts w:ascii="Arial" w:hAnsi="Arial"/>
                <w:color w:val="2C2C2C"/>
                <w:sz w:val="19"/>
              </w:rPr>
              <w:t>3.27</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81AEF7F" w14:textId="77777777" w:rsidR="009909BF" w:rsidRDefault="009909BF" w:rsidP="00155891">
            <w:pPr>
              <w:jc w:val="center"/>
            </w:pPr>
            <w:r>
              <w:rPr>
                <w:rFonts w:ascii="Arial" w:hAnsi="Arial"/>
                <w:color w:val="2C2C2C"/>
                <w:sz w:val="19"/>
              </w:rPr>
              <w:t xml:space="preserve">Positive </w:t>
            </w:r>
            <w:proofErr w:type="spellStart"/>
            <w:r>
              <w:rPr>
                <w:rFonts w:ascii="Arial" w:hAnsi="Arial"/>
                <w:color w:val="2C2C2C"/>
                <w:sz w:val="19"/>
              </w:rPr>
              <w:t>convexity</w:t>
            </w:r>
            <w:proofErr w:type="spellEnd"/>
            <w:r>
              <w:rPr>
                <w:rFonts w:ascii="Arial" w:hAnsi="Arial"/>
                <w:color w:val="2C2C2C"/>
                <w:sz w:val="19"/>
              </w:rPr>
              <w:t xml:space="preserve"> = </w:t>
            </w:r>
            <w:proofErr w:type="spellStart"/>
            <w:r>
              <w:rPr>
                <w:rFonts w:ascii="Arial" w:hAnsi="Arial"/>
                <w:color w:val="2C2C2C"/>
                <w:sz w:val="19"/>
              </w:rPr>
              <w:t>favourable</w:t>
            </w:r>
            <w:proofErr w:type="spellEnd"/>
            <w:r>
              <w:rPr>
                <w:rFonts w:ascii="Arial" w:hAnsi="Arial"/>
                <w:color w:val="2C2C2C"/>
                <w:sz w:val="19"/>
              </w:rPr>
              <w:t xml:space="preserve"> </w:t>
            </w:r>
            <w:proofErr w:type="spellStart"/>
            <w:r>
              <w:rPr>
                <w:rFonts w:ascii="Arial" w:hAnsi="Arial"/>
                <w:color w:val="2C2C2C"/>
                <w:sz w:val="19"/>
              </w:rPr>
              <w:t>asymmetry</w:t>
            </w:r>
            <w:proofErr w:type="spellEnd"/>
          </w:p>
        </w:tc>
        <w:tc>
          <w:tcPr>
            <w:tcW w:w="1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C62D306" w14:textId="77777777" w:rsidR="009909BF" w:rsidRPr="009909BF" w:rsidRDefault="009909BF" w:rsidP="00155891">
            <w:pPr>
              <w:jc w:val="center"/>
              <w:rPr>
                <w:lang w:val="en-CA"/>
              </w:rPr>
            </w:pPr>
            <w:r w:rsidRPr="009909BF">
              <w:rPr>
                <w:rFonts w:ascii="Arial" w:hAnsi="Arial"/>
                <w:color w:val="2C2C2C"/>
                <w:sz w:val="19"/>
                <w:lang w:val="en-CA"/>
              </w:rPr>
              <w:t>Price gains exceed losses for equal rate moves</w:t>
            </w:r>
          </w:p>
        </w:tc>
      </w:tr>
      <w:tr w:rsidR="009909BF" w14:paraId="2DE4D2AC"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3C31552" w14:textId="77777777" w:rsidR="009909BF" w:rsidRPr="009909BF" w:rsidRDefault="009909BF" w:rsidP="00155891">
            <w:pPr>
              <w:jc w:val="center"/>
              <w:rPr>
                <w:lang w:val="en-CA"/>
              </w:rPr>
            </w:pPr>
            <w:r w:rsidRPr="009909BF">
              <w:rPr>
                <w:rFonts w:ascii="Arial" w:hAnsi="Arial"/>
                <w:b/>
                <w:color w:val="2C2C2C"/>
                <w:sz w:val="19"/>
                <w:lang w:val="en-CA"/>
              </w:rPr>
              <w:t>100bps Rate Drop: D* only</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E15B5CC" w14:textId="77777777" w:rsidR="009909BF" w:rsidRDefault="009909BF" w:rsidP="00155891">
            <w:pPr>
              <w:jc w:val="center"/>
            </w:pPr>
            <w:r>
              <w:rPr>
                <w:rFonts w:ascii="Arial" w:hAnsi="Arial"/>
                <w:color w:val="2C2C2C"/>
                <w:sz w:val="19"/>
              </w:rPr>
              <w:t xml:space="preserve">+15.43% </w:t>
            </w:r>
            <w:proofErr w:type="spellStart"/>
            <w:r>
              <w:rPr>
                <w:rFonts w:ascii="Arial" w:hAnsi="Arial"/>
                <w:color w:val="2C2C2C"/>
                <w:sz w:val="19"/>
              </w:rPr>
              <w:t>price</w:t>
            </w:r>
            <w:proofErr w:type="spellEnd"/>
            <w:r>
              <w:rPr>
                <w:rFonts w:ascii="Arial" w:hAnsi="Arial"/>
                <w:color w:val="2C2C2C"/>
                <w:sz w:val="19"/>
              </w:rPr>
              <w:t xml:space="preserve"> change ($86.83→$100.23)</w:t>
            </w:r>
          </w:p>
        </w:tc>
        <w:tc>
          <w:tcPr>
            <w:tcW w:w="216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1EBFFC4" w14:textId="77777777" w:rsidR="009909BF" w:rsidRDefault="009909BF" w:rsidP="00155891">
            <w:pPr>
              <w:jc w:val="center"/>
            </w:pPr>
            <w:proofErr w:type="spellStart"/>
            <w:r>
              <w:rPr>
                <w:rFonts w:ascii="Arial" w:hAnsi="Arial"/>
                <w:color w:val="2C2C2C"/>
                <w:sz w:val="19"/>
              </w:rPr>
              <w:t>Validated</w:t>
            </w:r>
            <w:proofErr w:type="spellEnd"/>
            <w:r>
              <w:rPr>
                <w:rFonts w:ascii="Arial" w:hAnsi="Arial"/>
                <w:color w:val="2C2C2C"/>
                <w:sz w:val="19"/>
              </w:rPr>
              <w:t xml:space="preserve"> duration </w:t>
            </w:r>
            <w:proofErr w:type="spellStart"/>
            <w:r>
              <w:rPr>
                <w:rFonts w:ascii="Arial" w:hAnsi="Arial"/>
                <w:color w:val="2C2C2C"/>
                <w:sz w:val="19"/>
              </w:rPr>
              <w:t>hedging</w:t>
            </w:r>
            <w:proofErr w:type="spellEnd"/>
            <w:r>
              <w:rPr>
                <w:rFonts w:ascii="Arial" w:hAnsi="Arial"/>
                <w:color w:val="2C2C2C"/>
                <w:sz w:val="19"/>
              </w:rPr>
              <w:t xml:space="preserve"> </w:t>
            </w:r>
            <w:proofErr w:type="spellStart"/>
            <w:r>
              <w:rPr>
                <w:rFonts w:ascii="Arial" w:hAnsi="Arial"/>
                <w:color w:val="2C2C2C"/>
                <w:sz w:val="19"/>
              </w:rPr>
              <w:t>effect</w:t>
            </w:r>
            <w:proofErr w:type="spellEnd"/>
          </w:p>
        </w:tc>
        <w:tc>
          <w:tcPr>
            <w:tcW w:w="1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5BFE5F0" w14:textId="77777777" w:rsidR="009909BF" w:rsidRDefault="009909BF" w:rsidP="00155891">
            <w:pPr>
              <w:jc w:val="center"/>
            </w:pPr>
            <w:r>
              <w:rPr>
                <w:rFonts w:ascii="Arial" w:hAnsi="Arial"/>
                <w:color w:val="2C2C2C"/>
                <w:sz w:val="19"/>
              </w:rPr>
              <w:t xml:space="preserve">Scenario </w:t>
            </w:r>
            <w:proofErr w:type="spellStart"/>
            <w:r>
              <w:rPr>
                <w:rFonts w:ascii="Arial" w:hAnsi="Arial"/>
                <w:color w:val="2C2C2C"/>
                <w:sz w:val="19"/>
              </w:rPr>
              <w:t>analysis</w:t>
            </w:r>
            <w:proofErr w:type="spellEnd"/>
            <w:r>
              <w:rPr>
                <w:rFonts w:ascii="Arial" w:hAnsi="Arial"/>
                <w:color w:val="2C2C2C"/>
                <w:sz w:val="19"/>
              </w:rPr>
              <w:t xml:space="preserve"> </w:t>
            </w:r>
            <w:proofErr w:type="spellStart"/>
            <w:r>
              <w:rPr>
                <w:rFonts w:ascii="Arial" w:hAnsi="Arial"/>
                <w:color w:val="2C2C2C"/>
                <w:sz w:val="19"/>
              </w:rPr>
              <w:t>confirmed</w:t>
            </w:r>
            <w:proofErr w:type="spellEnd"/>
            <w:r>
              <w:rPr>
                <w:rFonts w:ascii="Arial" w:hAnsi="Arial"/>
                <w:color w:val="2C2C2C"/>
                <w:sz w:val="19"/>
              </w:rPr>
              <w:t xml:space="preserve"> per model</w:t>
            </w:r>
          </w:p>
        </w:tc>
      </w:tr>
      <w:tr w:rsidR="009909BF" w14:paraId="7328CC9D" w14:textId="77777777" w:rsidTr="009909BF">
        <w:tblPrEx>
          <w:tblCellMar>
            <w:top w:w="0" w:type="dxa"/>
            <w:bottom w:w="0" w:type="dxa"/>
          </w:tblCellMar>
        </w:tblPrEx>
        <w:trPr>
          <w:jc w:val="center"/>
        </w:trPr>
        <w:tc>
          <w:tcPr>
            <w:tcW w:w="31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E72E9F3" w14:textId="77777777" w:rsidR="009909BF" w:rsidRPr="009909BF" w:rsidRDefault="009909BF" w:rsidP="00155891">
            <w:pPr>
              <w:jc w:val="center"/>
              <w:rPr>
                <w:lang w:val="en-CA"/>
              </w:rPr>
            </w:pPr>
            <w:r w:rsidRPr="009909BF">
              <w:rPr>
                <w:rFonts w:ascii="Arial" w:hAnsi="Arial"/>
                <w:b/>
                <w:color w:val="2C2C2C"/>
                <w:sz w:val="19"/>
                <w:lang w:val="en-CA"/>
              </w:rPr>
              <w:t>100bps Rate Drop: D* + Convexity</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985E478" w14:textId="77777777" w:rsidR="009909BF" w:rsidRDefault="009909BF" w:rsidP="00155891">
            <w:pPr>
              <w:jc w:val="center"/>
            </w:pPr>
            <w:r>
              <w:rPr>
                <w:rFonts w:ascii="Arial" w:hAnsi="Arial"/>
                <w:color w:val="2C2C2C"/>
                <w:sz w:val="19"/>
              </w:rPr>
              <w:t xml:space="preserve">+15.45% </w:t>
            </w:r>
            <w:proofErr w:type="spellStart"/>
            <w:r>
              <w:rPr>
                <w:rFonts w:ascii="Arial" w:hAnsi="Arial"/>
                <w:color w:val="2C2C2C"/>
                <w:sz w:val="19"/>
              </w:rPr>
              <w:t>price</w:t>
            </w:r>
            <w:proofErr w:type="spellEnd"/>
            <w:r>
              <w:rPr>
                <w:rFonts w:ascii="Arial" w:hAnsi="Arial"/>
                <w:color w:val="2C2C2C"/>
                <w:sz w:val="19"/>
              </w:rPr>
              <w:t xml:space="preserve"> change ($86.83→$100.24)</w:t>
            </w:r>
          </w:p>
        </w:tc>
        <w:tc>
          <w:tcPr>
            <w:tcW w:w="21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09ABD98" w14:textId="77777777" w:rsidR="009909BF" w:rsidRDefault="009909BF" w:rsidP="00155891">
            <w:pPr>
              <w:jc w:val="center"/>
            </w:pPr>
            <w:proofErr w:type="spellStart"/>
            <w:r>
              <w:rPr>
                <w:rFonts w:ascii="Arial" w:hAnsi="Arial"/>
                <w:color w:val="2C2C2C"/>
                <w:sz w:val="19"/>
              </w:rPr>
              <w:t>Convexity</w:t>
            </w:r>
            <w:proofErr w:type="spellEnd"/>
            <w:r>
              <w:rPr>
                <w:rFonts w:ascii="Arial" w:hAnsi="Arial"/>
                <w:color w:val="2C2C2C"/>
                <w:sz w:val="19"/>
              </w:rPr>
              <w:t xml:space="preserve"> </w:t>
            </w:r>
            <w:proofErr w:type="spellStart"/>
            <w:r>
              <w:rPr>
                <w:rFonts w:ascii="Arial" w:hAnsi="Arial"/>
                <w:color w:val="2C2C2C"/>
                <w:sz w:val="19"/>
              </w:rPr>
              <w:t>adds</w:t>
            </w:r>
            <w:proofErr w:type="spellEnd"/>
            <w:r>
              <w:rPr>
                <w:rFonts w:ascii="Arial" w:hAnsi="Arial"/>
                <w:color w:val="2C2C2C"/>
                <w:sz w:val="19"/>
              </w:rPr>
              <w:t xml:space="preserve"> marginal </w:t>
            </w:r>
            <w:proofErr w:type="spellStart"/>
            <w:r>
              <w:rPr>
                <w:rFonts w:ascii="Arial" w:hAnsi="Arial"/>
                <w:color w:val="2C2C2C"/>
                <w:sz w:val="19"/>
              </w:rPr>
              <w:t>upside</w:t>
            </w:r>
            <w:proofErr w:type="spellEnd"/>
          </w:p>
        </w:tc>
        <w:tc>
          <w:tcPr>
            <w:tcW w:w="1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B681635" w14:textId="77777777" w:rsidR="009909BF" w:rsidRDefault="009909BF" w:rsidP="00155891">
            <w:pPr>
              <w:jc w:val="center"/>
            </w:pPr>
            <w:proofErr w:type="spellStart"/>
            <w:r>
              <w:rPr>
                <w:rFonts w:ascii="Arial" w:hAnsi="Arial"/>
                <w:color w:val="2C2C2C"/>
                <w:sz w:val="19"/>
              </w:rPr>
              <w:t>Confirms</w:t>
            </w:r>
            <w:proofErr w:type="spellEnd"/>
            <w:r>
              <w:rPr>
                <w:rFonts w:ascii="Arial" w:hAnsi="Arial"/>
                <w:color w:val="2C2C2C"/>
                <w:sz w:val="19"/>
              </w:rPr>
              <w:t xml:space="preserve"> positive </w:t>
            </w:r>
            <w:proofErr w:type="spellStart"/>
            <w:r>
              <w:rPr>
                <w:rFonts w:ascii="Arial" w:hAnsi="Arial"/>
                <w:color w:val="2C2C2C"/>
                <w:sz w:val="19"/>
              </w:rPr>
              <w:t>convexity</w:t>
            </w:r>
            <w:proofErr w:type="spellEnd"/>
            <w:r>
              <w:rPr>
                <w:rFonts w:ascii="Arial" w:hAnsi="Arial"/>
                <w:color w:val="2C2C2C"/>
                <w:sz w:val="19"/>
              </w:rPr>
              <w:t xml:space="preserve"> profile</w:t>
            </w:r>
          </w:p>
        </w:tc>
      </w:tr>
    </w:tbl>
    <w:p w14:paraId="1DA97ED3" w14:textId="77777777" w:rsidR="0040102C" w:rsidRPr="0040102C" w:rsidRDefault="0040102C" w:rsidP="009909BF">
      <w:pPr>
        <w:rPr>
          <w:lang w:val="en-CA"/>
        </w:rPr>
      </w:pPr>
    </w:p>
    <w:p w14:paraId="5A017814" w14:textId="77777777" w:rsidR="009909BF" w:rsidRPr="009909BF" w:rsidRDefault="009909BF" w:rsidP="009909BF">
      <w:pPr>
        <w:spacing w:before="30" w:after="100"/>
        <w:jc w:val="center"/>
        <w:rPr>
          <w:lang w:val="en-CA"/>
        </w:rPr>
      </w:pPr>
      <w:r w:rsidRPr="009909BF">
        <w:rPr>
          <w:rFonts w:ascii="Arial" w:eastAsia="Arial" w:hAnsi="Arial" w:cs="Arial"/>
          <w:color w:val="666666"/>
          <w:sz w:val="17"/>
          <w:lang w:val="en-CA"/>
        </w:rPr>
        <w:t xml:space="preserve">Table </w:t>
      </w:r>
      <w:proofErr w:type="gramStart"/>
      <w:r w:rsidRPr="009909BF">
        <w:rPr>
          <w:rFonts w:ascii="Arial" w:eastAsia="Arial" w:hAnsi="Arial" w:cs="Arial"/>
          <w:color w:val="666666"/>
          <w:sz w:val="17"/>
          <w:lang w:val="en-CA"/>
        </w:rPr>
        <w:t>4.2  -</w:t>
      </w:r>
      <w:proofErr w:type="gramEnd"/>
      <w:r w:rsidRPr="009909BF">
        <w:rPr>
          <w:rFonts w:ascii="Arial" w:eastAsia="Arial" w:hAnsi="Arial" w:cs="Arial"/>
          <w:color w:val="666666"/>
          <w:sz w:val="17"/>
          <w:lang w:val="en-CA"/>
        </w:rPr>
        <w:t xml:space="preserve">  TLT Duration &amp; Convexity Analysis. Source: Data. Bond Duration &amp; Convexity sheet, ACWI_index_FV.xlsx; BlackRock iShares (April 15, 2026).</w:t>
      </w:r>
    </w:p>
    <w:p w14:paraId="6A4C61FD" w14:textId="7BCF37FA" w:rsidR="0040102C" w:rsidRDefault="00921D4F" w:rsidP="0040102C">
      <w:pPr>
        <w:rPr>
          <w:lang w:val="en-CA"/>
        </w:rPr>
      </w:pPr>
      <w:r>
        <w:rPr>
          <w:lang w:val="en-CA"/>
        </w:rPr>
        <w:t>The Modified Duration of 15.4</w:t>
      </w:r>
      <w:r w:rsidR="005058ED">
        <w:rPr>
          <w:lang w:val="en-CA"/>
        </w:rPr>
        <w:t>3</w:t>
      </w:r>
      <w:r>
        <w:rPr>
          <w:lang w:val="en-CA"/>
        </w:rPr>
        <w:t xml:space="preserve"> years indicate that TLT’s price will change by approximately 15.4502% for every 100-basis point change in yield. In a scenario where the Bank of America cuts rates by 100bps, </w:t>
      </w:r>
      <w:r w:rsidR="00175B2B">
        <w:rPr>
          <w:lang w:val="en-CA"/>
        </w:rPr>
        <w:t>TLT’s price</w:t>
      </w:r>
      <w:r>
        <w:rPr>
          <w:lang w:val="en-CA"/>
        </w:rPr>
        <w:t xml:space="preserve"> would increase from $86.63 to approximately $100.2596, generating a 7.9% capital gain on top of the 4.93% yield, a powerful return enhancement for the conservative sleeve. The positive convexity of 3.27 further confirms that the bond appreciates more than it falls for equal-sized rate moves, providing asymmetric return characteristics that benefit a conservative client.</w:t>
      </w:r>
    </w:p>
    <w:p w14:paraId="7337BDF8" w14:textId="37DCCA57" w:rsidR="00921D4F" w:rsidRDefault="00921D4F" w:rsidP="00921D4F">
      <w:pPr>
        <w:pStyle w:val="Heading3"/>
      </w:pPr>
      <w:bookmarkStart w:id="30" w:name="_Toc227618166"/>
      <w:r>
        <w:t>4.4 Security Selection: The Active Portfolio (Treynor-Black)</w:t>
      </w:r>
      <w:bookmarkEnd w:id="30"/>
    </w:p>
    <w:p w14:paraId="5C443426" w14:textId="1D4E4751" w:rsidR="00921D4F" w:rsidRDefault="00921D4F" w:rsidP="00921D4F">
      <w:pPr>
        <w:pStyle w:val="Heading2"/>
      </w:pPr>
      <w:bookmarkStart w:id="31" w:name="_Toc227618167"/>
      <w:r>
        <w:t>The active portfolio is constructed using the Treynor-Black model, which identifies securities with non-zero alpha forecasts and weights them in proportion to their alpha-to-residual-variance ratio. Panel E provides the adjusted alpha forecasts; Panel F and G deliver the optimal active weights and combined portfolio characteristics.</w:t>
      </w:r>
      <w:bookmarkEnd w:id="31"/>
      <w:r>
        <w:t xml:space="preserve"> </w:t>
      </w:r>
    </w:p>
    <w:p w14:paraId="2DD17B33" w14:textId="0F1EBC09" w:rsidR="005C4523" w:rsidRDefault="005C4523" w:rsidP="005C4523">
      <w:pPr>
        <w:rPr>
          <w:lang w:val="en-CA"/>
        </w:rPr>
      </w:pPr>
      <w:r w:rsidRPr="005C4523">
        <w:rPr>
          <w:lang w:val="en-CA"/>
        </w:rPr>
        <w:t xml:space="preserve">The active overlay is built on the </w:t>
      </w:r>
      <w:r w:rsidR="005058ED">
        <w:rPr>
          <w:lang w:val="en-CA"/>
        </w:rPr>
        <w:t xml:space="preserve">ACWI </w:t>
      </w:r>
      <w:r w:rsidRPr="005C4523">
        <w:rPr>
          <w:lang w:val="en-CA"/>
        </w:rPr>
        <w:t>index as the passive baseline (Panel A). Each security is analysed within the Single Index Model framework, where return decomposition separates the market-driven (systematic) component from the firm-specific (alpha) component. Only securities demonstrating statistically meaningful adjusted alpha</w:t>
      </w:r>
      <w:r>
        <w:rPr>
          <w:lang w:val="en-CA"/>
        </w:rPr>
        <w:t xml:space="preserve">, </w:t>
      </w:r>
      <w:r w:rsidRPr="005C4523">
        <w:rPr>
          <w:lang w:val="en-CA"/>
        </w:rPr>
        <w:t>calibrated by dividing the raw alpha by the price-to-earnings adjustment factor to account for valuation are given meaningful active weights.</w:t>
      </w:r>
    </w:p>
    <w:p w14:paraId="76AC6B20" w14:textId="77777777" w:rsidR="009909BF" w:rsidRDefault="009909BF" w:rsidP="005C4523">
      <w:pPr>
        <w:rPr>
          <w:lang w:val="en-CA"/>
        </w:rPr>
      </w:pPr>
    </w:p>
    <w:p w14:paraId="61C29D28" w14:textId="77777777" w:rsidR="009909BF" w:rsidRDefault="009909BF" w:rsidP="005C4523">
      <w:pPr>
        <w:rPr>
          <w:lang w:val="en-CA"/>
        </w:rPr>
      </w:pPr>
    </w:p>
    <w:p w14:paraId="5473F4BD" w14:textId="77777777" w:rsidR="009909BF" w:rsidRDefault="009909BF" w:rsidP="005C4523">
      <w:pPr>
        <w:rPr>
          <w:lang w:val="en-CA"/>
        </w:rPr>
      </w:pPr>
    </w:p>
    <w:p w14:paraId="0A6FD6D4" w14:textId="77777777" w:rsidR="009909BF" w:rsidRDefault="009909BF" w:rsidP="005C4523">
      <w:pPr>
        <w:rPr>
          <w:lang w:val="en-CA"/>
        </w:rPr>
      </w:pPr>
    </w:p>
    <w:p w14:paraId="7F7461FF" w14:textId="77777777" w:rsidR="009909BF" w:rsidRDefault="009909BF" w:rsidP="005C4523">
      <w:pPr>
        <w:rPr>
          <w:lang w:val="en-CA"/>
        </w:rPr>
      </w:pPr>
    </w:p>
    <w:p w14:paraId="7247A22E" w14:textId="77777777" w:rsidR="009909BF" w:rsidRDefault="009909BF" w:rsidP="005C4523">
      <w:pPr>
        <w:rPr>
          <w:lang w:val="en-CA"/>
        </w:rPr>
      </w:pPr>
    </w:p>
    <w:p w14:paraId="5D98E585" w14:textId="77777777" w:rsidR="009909BF" w:rsidRDefault="009909BF" w:rsidP="005C4523">
      <w:pPr>
        <w:rPr>
          <w:lang w:val="en-CA"/>
        </w:rPr>
      </w:pPr>
    </w:p>
    <w:p w14:paraId="0C74E8F5" w14:textId="77777777" w:rsidR="009909BF" w:rsidRDefault="009909BF" w:rsidP="005C4523">
      <w:pPr>
        <w:rPr>
          <w:lang w:val="en-CA"/>
        </w:rPr>
      </w:pPr>
    </w:p>
    <w:tbl>
      <w:tblPr>
        <w:tblW w:w="9360" w:type="dxa"/>
        <w:jc w:val="center"/>
        <w:tblCellMar>
          <w:left w:w="10" w:type="dxa"/>
          <w:right w:w="10" w:type="dxa"/>
        </w:tblCellMar>
        <w:tblLook w:val="04A0" w:firstRow="1" w:lastRow="0" w:firstColumn="1" w:lastColumn="0" w:noHBand="0" w:noVBand="1"/>
      </w:tblPr>
      <w:tblGrid>
        <w:gridCol w:w="946"/>
        <w:gridCol w:w="1745"/>
        <w:gridCol w:w="1731"/>
        <w:gridCol w:w="866"/>
        <w:gridCol w:w="811"/>
        <w:gridCol w:w="730"/>
        <w:gridCol w:w="876"/>
        <w:gridCol w:w="770"/>
        <w:gridCol w:w="885"/>
      </w:tblGrid>
      <w:tr w:rsidR="009909BF" w14:paraId="6357665E" w14:textId="77777777" w:rsidTr="009909BF">
        <w:tblPrEx>
          <w:tblCellMar>
            <w:top w:w="0" w:type="dxa"/>
            <w:bottom w:w="0" w:type="dxa"/>
          </w:tblCellMar>
        </w:tblPrEx>
        <w:trPr>
          <w:jc w:val="center"/>
        </w:trPr>
        <w:tc>
          <w:tcPr>
            <w:tcW w:w="10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C58B055" w14:textId="77777777" w:rsidR="009909BF" w:rsidRDefault="009909BF" w:rsidP="00155891">
            <w:pPr>
              <w:jc w:val="center"/>
            </w:pPr>
            <w:r>
              <w:rPr>
                <w:rFonts w:ascii="Arial" w:hAnsi="Arial"/>
                <w:b/>
                <w:color w:val="FFFFFF"/>
                <w:sz w:val="18"/>
              </w:rPr>
              <w:lastRenderedPageBreak/>
              <w:t>Ticker</w:t>
            </w:r>
          </w:p>
        </w:tc>
        <w:tc>
          <w:tcPr>
            <w:tcW w:w="19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21719063" w14:textId="77777777" w:rsidR="009909BF" w:rsidRDefault="009909BF" w:rsidP="00155891">
            <w:pPr>
              <w:jc w:val="center"/>
            </w:pPr>
            <w:r>
              <w:rPr>
                <w:rFonts w:ascii="Arial" w:hAnsi="Arial"/>
                <w:b/>
                <w:color w:val="FFFFFF"/>
                <w:sz w:val="18"/>
              </w:rPr>
              <w:t>Full Name</w:t>
            </w:r>
          </w:p>
        </w:tc>
        <w:tc>
          <w:tcPr>
            <w:tcW w:w="185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1CBCE1D6" w14:textId="77777777" w:rsidR="009909BF" w:rsidRDefault="009909BF" w:rsidP="00155891">
            <w:pPr>
              <w:jc w:val="center"/>
            </w:pPr>
            <w:proofErr w:type="spellStart"/>
            <w:r>
              <w:rPr>
                <w:rFonts w:ascii="Arial" w:hAnsi="Arial"/>
                <w:b/>
                <w:color w:val="FFFFFF"/>
                <w:sz w:val="18"/>
              </w:rPr>
              <w:t>Role</w:t>
            </w:r>
            <w:proofErr w:type="spellEnd"/>
            <w:r>
              <w:rPr>
                <w:rFonts w:ascii="Arial" w:hAnsi="Arial"/>
                <w:b/>
                <w:color w:val="FFFFFF"/>
                <w:sz w:val="18"/>
              </w:rPr>
              <w:t xml:space="preserve"> in Pf</w:t>
            </w:r>
          </w:p>
        </w:tc>
        <w:tc>
          <w:tcPr>
            <w:tcW w:w="9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1530873E" w14:textId="77777777" w:rsidR="009909BF" w:rsidRDefault="009909BF" w:rsidP="00155891">
            <w:pPr>
              <w:jc w:val="center"/>
            </w:pPr>
            <w:r>
              <w:rPr>
                <w:rFonts w:ascii="Arial" w:hAnsi="Arial"/>
                <w:b/>
                <w:color w:val="FFFFFF"/>
                <w:sz w:val="18"/>
              </w:rPr>
              <w:t>Price</w:t>
            </w:r>
          </w:p>
        </w:tc>
        <w:tc>
          <w:tcPr>
            <w:tcW w:w="8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01C1075B" w14:textId="77777777" w:rsidR="009909BF" w:rsidRDefault="009909BF" w:rsidP="00155891">
            <w:pPr>
              <w:jc w:val="center"/>
            </w:pPr>
            <w:r>
              <w:rPr>
                <w:rFonts w:ascii="Arial" w:hAnsi="Arial"/>
                <w:b/>
                <w:color w:val="FFFFFF"/>
                <w:sz w:val="18"/>
              </w:rPr>
              <w:t>P/E</w:t>
            </w:r>
          </w:p>
        </w:tc>
        <w:tc>
          <w:tcPr>
            <w:tcW w:w="7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543D984" w14:textId="77777777" w:rsidR="009909BF" w:rsidRDefault="009909BF" w:rsidP="00155891">
            <w:pPr>
              <w:jc w:val="center"/>
            </w:pPr>
            <w:r>
              <w:rPr>
                <w:rFonts w:ascii="Arial" w:hAnsi="Arial"/>
                <w:b/>
                <w:color w:val="FFFFFF"/>
                <w:sz w:val="18"/>
              </w:rPr>
              <w:t>β</w:t>
            </w:r>
          </w:p>
        </w:tc>
        <w:tc>
          <w:tcPr>
            <w:tcW w:w="9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76FC8447" w14:textId="77777777" w:rsidR="009909BF" w:rsidRDefault="009909BF" w:rsidP="00155891">
            <w:pPr>
              <w:jc w:val="center"/>
            </w:pPr>
            <w:r>
              <w:rPr>
                <w:rFonts w:ascii="Arial" w:hAnsi="Arial"/>
                <w:b/>
                <w:color w:val="FFFFFF"/>
                <w:sz w:val="18"/>
              </w:rPr>
              <w:t>Adj. α</w:t>
            </w:r>
          </w:p>
        </w:tc>
        <w:tc>
          <w:tcPr>
            <w:tcW w:w="8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06B9B24" w14:textId="77777777" w:rsidR="009909BF" w:rsidRDefault="009909BF" w:rsidP="00155891">
            <w:pPr>
              <w:jc w:val="center"/>
            </w:pPr>
            <w:r>
              <w:rPr>
                <w:rFonts w:ascii="Arial" w:hAnsi="Arial"/>
                <w:b/>
                <w:color w:val="FFFFFF"/>
                <w:sz w:val="18"/>
              </w:rPr>
              <w:t>Sharpe</w:t>
            </w:r>
          </w:p>
        </w:tc>
        <w:tc>
          <w:tcPr>
            <w:tcW w:w="93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4B2B9DF4" w14:textId="77777777" w:rsidR="009909BF" w:rsidRDefault="009909BF" w:rsidP="00155891">
            <w:pPr>
              <w:jc w:val="center"/>
            </w:pPr>
            <w:r>
              <w:rPr>
                <w:rFonts w:ascii="Arial" w:hAnsi="Arial"/>
                <w:b/>
                <w:color w:val="FFFFFF"/>
                <w:sz w:val="18"/>
              </w:rPr>
              <w:t xml:space="preserve">Active </w:t>
            </w:r>
            <w:proofErr w:type="spellStart"/>
            <w:r>
              <w:rPr>
                <w:rFonts w:ascii="Arial" w:hAnsi="Arial"/>
                <w:b/>
                <w:color w:val="FFFFFF"/>
                <w:sz w:val="18"/>
              </w:rPr>
              <w:t>Wt</w:t>
            </w:r>
            <w:proofErr w:type="spellEnd"/>
            <w:r>
              <w:rPr>
                <w:rFonts w:ascii="Arial" w:hAnsi="Arial"/>
                <w:b/>
                <w:color w:val="FFFFFF"/>
                <w:sz w:val="18"/>
              </w:rPr>
              <w:t>.</w:t>
            </w:r>
          </w:p>
        </w:tc>
      </w:tr>
      <w:tr w:rsidR="009909BF" w14:paraId="500D9136"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AFEFDFD" w14:textId="77777777" w:rsidR="009909BF" w:rsidRDefault="009909BF" w:rsidP="00155891">
            <w:pPr>
              <w:jc w:val="center"/>
            </w:pPr>
            <w:r>
              <w:rPr>
                <w:rFonts w:ascii="Arial" w:hAnsi="Arial"/>
                <w:b/>
                <w:color w:val="2C2C2C"/>
                <w:sz w:val="19"/>
              </w:rPr>
              <w:t>ACWI</w:t>
            </w:r>
          </w:p>
        </w:tc>
        <w:tc>
          <w:tcPr>
            <w:tcW w:w="1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362A496" w14:textId="77777777" w:rsidR="009909BF" w:rsidRDefault="009909BF" w:rsidP="00155891">
            <w:pPr>
              <w:jc w:val="center"/>
            </w:pPr>
            <w:proofErr w:type="spellStart"/>
            <w:r>
              <w:rPr>
                <w:rFonts w:ascii="Arial" w:hAnsi="Arial"/>
                <w:color w:val="2C2C2C"/>
                <w:sz w:val="19"/>
              </w:rPr>
              <w:t>iShares</w:t>
            </w:r>
            <w:proofErr w:type="spellEnd"/>
            <w:r>
              <w:rPr>
                <w:rFonts w:ascii="Arial" w:hAnsi="Arial"/>
                <w:color w:val="2C2C2C"/>
                <w:sz w:val="19"/>
              </w:rPr>
              <w:t xml:space="preserve"> MSCI ACWI ETF</w:t>
            </w:r>
          </w:p>
        </w:tc>
        <w:tc>
          <w:tcPr>
            <w:tcW w:w="18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A50C185" w14:textId="77777777" w:rsidR="009909BF" w:rsidRDefault="009909BF" w:rsidP="00155891">
            <w:pPr>
              <w:jc w:val="center"/>
            </w:pPr>
            <w:r>
              <w:rPr>
                <w:rFonts w:ascii="Arial" w:hAnsi="Arial"/>
                <w:color w:val="2C2C2C"/>
                <w:sz w:val="19"/>
              </w:rPr>
              <w:t>Index Benchmark</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71CD98B" w14:textId="77777777" w:rsidR="009909BF" w:rsidRDefault="009909BF" w:rsidP="00155891">
            <w:pPr>
              <w:jc w:val="center"/>
            </w:pPr>
            <w:r>
              <w:rPr>
                <w:rFonts w:ascii="Arial" w:hAnsi="Arial"/>
                <w:color w:val="2C2C2C"/>
                <w:sz w:val="19"/>
              </w:rPr>
              <w:t>$179.79</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8D27540" w14:textId="77777777" w:rsidR="009909BF" w:rsidRDefault="009909BF" w:rsidP="00155891">
            <w:pPr>
              <w:jc w:val="center"/>
            </w:pPr>
            <w:r>
              <w:rPr>
                <w:rFonts w:ascii="Arial" w:hAnsi="Arial"/>
                <w:color w:val="2C2C2C"/>
                <w:sz w:val="19"/>
              </w:rPr>
              <w:t>17.1x</w:t>
            </w:r>
          </w:p>
        </w:tc>
        <w:tc>
          <w:tcPr>
            <w:tcW w:w="7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CE8E43A" w14:textId="77777777" w:rsidR="009909BF" w:rsidRDefault="009909BF" w:rsidP="00155891">
            <w:pPr>
              <w:jc w:val="center"/>
            </w:pPr>
            <w:r>
              <w:rPr>
                <w:rFonts w:ascii="Arial" w:hAnsi="Arial"/>
                <w:color w:val="2C2C2C"/>
                <w:sz w:val="19"/>
              </w:rPr>
              <w:t>1.000</w:t>
            </w:r>
          </w:p>
        </w:tc>
        <w:tc>
          <w:tcPr>
            <w:tcW w:w="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D8865F4" w14:textId="77777777" w:rsidR="009909BF" w:rsidRDefault="009909BF" w:rsidP="00155891">
            <w:pPr>
              <w:jc w:val="center"/>
            </w:pPr>
            <w:r>
              <w:rPr>
                <w:rFonts w:ascii="Arial" w:hAnsi="Arial"/>
                <w:color w:val="2C2C2C"/>
                <w:sz w:val="19"/>
              </w:rPr>
              <w:t>0.0%</w:t>
            </w:r>
          </w:p>
        </w:tc>
        <w:tc>
          <w:tcPr>
            <w:tcW w:w="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4BC162A" w14:textId="77777777" w:rsidR="009909BF" w:rsidRDefault="009909BF" w:rsidP="00155891">
            <w:pPr>
              <w:jc w:val="center"/>
            </w:pPr>
            <w:r>
              <w:rPr>
                <w:rFonts w:ascii="Arial" w:hAnsi="Arial"/>
                <w:color w:val="2C2C2C"/>
                <w:sz w:val="19"/>
              </w:rPr>
              <w:t>0.291</w:t>
            </w:r>
          </w:p>
        </w:tc>
        <w:tc>
          <w:tcPr>
            <w:tcW w:w="93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EAAF88A" w14:textId="77777777" w:rsidR="009909BF" w:rsidRDefault="009909BF" w:rsidP="00155891">
            <w:pPr>
              <w:jc w:val="center"/>
            </w:pPr>
            <w:r>
              <w:rPr>
                <w:rFonts w:ascii="Arial" w:hAnsi="Arial"/>
                <w:color w:val="2C2C2C"/>
                <w:sz w:val="19"/>
              </w:rPr>
              <w:t>—</w:t>
            </w:r>
          </w:p>
        </w:tc>
      </w:tr>
      <w:tr w:rsidR="009909BF" w14:paraId="7167C4C1"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33889E9B" w14:textId="77777777" w:rsidR="009909BF" w:rsidRDefault="009909BF" w:rsidP="00155891">
            <w:pPr>
              <w:jc w:val="center"/>
            </w:pPr>
            <w:r>
              <w:rPr>
                <w:rFonts w:ascii="Arial" w:hAnsi="Arial"/>
                <w:b/>
                <w:color w:val="2C2C2C"/>
                <w:sz w:val="19"/>
              </w:rPr>
              <w:t>SBGSY</w:t>
            </w:r>
          </w:p>
        </w:tc>
        <w:tc>
          <w:tcPr>
            <w:tcW w:w="190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1B397FEB" w14:textId="77777777" w:rsidR="009909BF" w:rsidRDefault="009909BF" w:rsidP="00155891">
            <w:pPr>
              <w:jc w:val="center"/>
            </w:pPr>
            <w:r>
              <w:rPr>
                <w:rFonts w:ascii="Arial" w:hAnsi="Arial"/>
                <w:color w:val="2C2C2C"/>
                <w:sz w:val="19"/>
              </w:rPr>
              <w:t>Schneider Electric SA</w:t>
            </w:r>
          </w:p>
        </w:tc>
        <w:tc>
          <w:tcPr>
            <w:tcW w:w="185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07ED2B86" w14:textId="77777777" w:rsidR="009909BF" w:rsidRDefault="009909BF" w:rsidP="00155891">
            <w:pPr>
              <w:jc w:val="center"/>
            </w:pPr>
            <w:r>
              <w:rPr>
                <w:rFonts w:ascii="Arial" w:hAnsi="Arial"/>
                <w:color w:val="2C2C2C"/>
                <w:sz w:val="19"/>
              </w:rPr>
              <w:t xml:space="preserve">Smart </w:t>
            </w:r>
            <w:proofErr w:type="spellStart"/>
            <w:r>
              <w:rPr>
                <w:rFonts w:ascii="Arial" w:hAnsi="Arial"/>
                <w:color w:val="2C2C2C"/>
                <w:sz w:val="19"/>
              </w:rPr>
              <w:t>Grid</w:t>
            </w:r>
            <w:proofErr w:type="spellEnd"/>
            <w:r>
              <w:rPr>
                <w:rFonts w:ascii="Arial" w:hAnsi="Arial"/>
                <w:color w:val="2C2C2C"/>
                <w:sz w:val="19"/>
              </w:rPr>
              <w:t xml:space="preserve"> Leader (Long)</w:t>
            </w:r>
          </w:p>
        </w:tc>
        <w:tc>
          <w:tcPr>
            <w:tcW w:w="90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30AB5C4B" w14:textId="77777777" w:rsidR="009909BF" w:rsidRDefault="009909BF" w:rsidP="00155891">
            <w:pPr>
              <w:jc w:val="center"/>
            </w:pPr>
            <w:r>
              <w:rPr>
                <w:rFonts w:ascii="Arial" w:hAnsi="Arial"/>
                <w:color w:val="2C2C2C"/>
                <w:sz w:val="19"/>
              </w:rPr>
              <w:t>$62.15</w:t>
            </w:r>
          </w:p>
        </w:tc>
        <w:tc>
          <w:tcPr>
            <w:tcW w:w="88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39006DF5" w14:textId="77777777" w:rsidR="009909BF" w:rsidRDefault="009909BF" w:rsidP="00155891">
            <w:pPr>
              <w:jc w:val="center"/>
            </w:pPr>
            <w:r>
              <w:rPr>
                <w:rFonts w:ascii="Arial" w:hAnsi="Arial"/>
                <w:color w:val="2C2C2C"/>
                <w:sz w:val="19"/>
              </w:rPr>
              <w:t>37.7x</w:t>
            </w:r>
          </w:p>
        </w:tc>
        <w:tc>
          <w:tcPr>
            <w:tcW w:w="78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60871922" w14:textId="77777777" w:rsidR="009909BF" w:rsidRDefault="009909BF" w:rsidP="00155891">
            <w:pPr>
              <w:jc w:val="center"/>
            </w:pPr>
            <w:r>
              <w:rPr>
                <w:rFonts w:ascii="Arial" w:hAnsi="Arial"/>
                <w:color w:val="2C2C2C"/>
                <w:sz w:val="19"/>
              </w:rPr>
              <w:t>1.216</w:t>
            </w:r>
          </w:p>
        </w:tc>
        <w:tc>
          <w:tcPr>
            <w:tcW w:w="92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39DC11FB" w14:textId="77777777" w:rsidR="009909BF" w:rsidRDefault="009909BF" w:rsidP="00155891">
            <w:pPr>
              <w:jc w:val="center"/>
            </w:pPr>
            <w:r>
              <w:rPr>
                <w:rFonts w:ascii="Arial" w:hAnsi="Arial"/>
                <w:color w:val="1A6B3A"/>
                <w:sz w:val="19"/>
              </w:rPr>
              <w:t>+9.1%</w:t>
            </w:r>
          </w:p>
        </w:tc>
        <w:tc>
          <w:tcPr>
            <w:tcW w:w="80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4AAAA1D9" w14:textId="77777777" w:rsidR="009909BF" w:rsidRDefault="009909BF" w:rsidP="00155891">
            <w:pPr>
              <w:jc w:val="center"/>
            </w:pPr>
            <w:r>
              <w:rPr>
                <w:rFonts w:ascii="Arial" w:hAnsi="Arial"/>
                <w:color w:val="2C2C2C"/>
                <w:sz w:val="19"/>
              </w:rPr>
              <w:t>0.472</w:t>
            </w:r>
          </w:p>
        </w:tc>
        <w:tc>
          <w:tcPr>
            <w:tcW w:w="930" w:type="dxa"/>
            <w:tcBorders>
              <w:top w:val="single" w:sz="1" w:space="0" w:color="CCCCCC"/>
              <w:left w:val="single" w:sz="1" w:space="0" w:color="CCCCCC"/>
              <w:bottom w:val="single" w:sz="1" w:space="0" w:color="CCCCCC"/>
              <w:right w:val="single" w:sz="1" w:space="0" w:color="CCCCCC"/>
            </w:tcBorders>
            <w:shd w:val="clear" w:color="auto" w:fill="D6E4F0"/>
            <w:vAlign w:val="center"/>
          </w:tcPr>
          <w:p w14:paraId="0F0FEF9B" w14:textId="77777777" w:rsidR="009909BF" w:rsidRDefault="009909BF" w:rsidP="00155891">
            <w:pPr>
              <w:jc w:val="center"/>
            </w:pPr>
            <w:r>
              <w:rPr>
                <w:rFonts w:ascii="Arial" w:hAnsi="Arial"/>
                <w:color w:val="1A6B3A"/>
                <w:sz w:val="19"/>
              </w:rPr>
              <w:t>+23.4%</w:t>
            </w:r>
          </w:p>
        </w:tc>
      </w:tr>
      <w:tr w:rsidR="009909BF" w14:paraId="38867B67"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34F409D7" w14:textId="77777777" w:rsidR="009909BF" w:rsidRDefault="009909BF" w:rsidP="00155891">
            <w:pPr>
              <w:jc w:val="center"/>
            </w:pPr>
            <w:r>
              <w:rPr>
                <w:rFonts w:ascii="Arial" w:hAnsi="Arial"/>
                <w:b/>
                <w:color w:val="2C2C2C"/>
                <w:sz w:val="19"/>
              </w:rPr>
              <w:t>MLI</w:t>
            </w:r>
          </w:p>
        </w:tc>
        <w:tc>
          <w:tcPr>
            <w:tcW w:w="19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12A3BF9" w14:textId="77777777" w:rsidR="009909BF" w:rsidRDefault="009909BF" w:rsidP="00155891">
            <w:pPr>
              <w:jc w:val="center"/>
            </w:pPr>
            <w:r>
              <w:rPr>
                <w:rFonts w:ascii="Arial" w:hAnsi="Arial"/>
                <w:color w:val="2C2C2C"/>
                <w:sz w:val="19"/>
              </w:rPr>
              <w:t>Mueller Industries Inc.</w:t>
            </w:r>
          </w:p>
        </w:tc>
        <w:tc>
          <w:tcPr>
            <w:tcW w:w="185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C4B8225" w14:textId="77777777" w:rsidR="009909BF" w:rsidRDefault="009909BF" w:rsidP="00155891">
            <w:pPr>
              <w:jc w:val="center"/>
            </w:pPr>
            <w:r>
              <w:rPr>
                <w:rFonts w:ascii="Arial" w:hAnsi="Arial"/>
                <w:color w:val="2C2C2C"/>
                <w:sz w:val="19"/>
              </w:rPr>
              <w:t>Copper/</w:t>
            </w:r>
            <w:proofErr w:type="spellStart"/>
            <w:r>
              <w:rPr>
                <w:rFonts w:ascii="Arial" w:hAnsi="Arial"/>
                <w:color w:val="2C2C2C"/>
                <w:sz w:val="19"/>
              </w:rPr>
              <w:t>Grid</w:t>
            </w:r>
            <w:proofErr w:type="spellEnd"/>
            <w:r>
              <w:rPr>
                <w:rFonts w:ascii="Arial" w:hAnsi="Arial"/>
                <w:color w:val="2C2C2C"/>
                <w:sz w:val="19"/>
              </w:rPr>
              <w:t xml:space="preserve"> Alpha (Long)</w:t>
            </w:r>
          </w:p>
        </w:tc>
        <w:tc>
          <w:tcPr>
            <w:tcW w:w="9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7CC923F" w14:textId="77777777" w:rsidR="009909BF" w:rsidRDefault="009909BF" w:rsidP="00155891">
            <w:pPr>
              <w:jc w:val="center"/>
            </w:pPr>
            <w:r>
              <w:rPr>
                <w:rFonts w:ascii="Arial" w:hAnsi="Arial"/>
                <w:color w:val="2C2C2C"/>
                <w:sz w:val="19"/>
              </w:rPr>
              <w:t>$118.25</w:t>
            </w:r>
          </w:p>
        </w:tc>
        <w:tc>
          <w:tcPr>
            <w:tcW w:w="88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E133555" w14:textId="77777777" w:rsidR="009909BF" w:rsidRDefault="009909BF" w:rsidP="00155891">
            <w:pPr>
              <w:jc w:val="center"/>
            </w:pPr>
            <w:r>
              <w:rPr>
                <w:rFonts w:ascii="Arial" w:hAnsi="Arial"/>
                <w:color w:val="2C2C2C"/>
                <w:sz w:val="19"/>
              </w:rPr>
              <w:t>18.1x</w:t>
            </w:r>
          </w:p>
        </w:tc>
        <w:tc>
          <w:tcPr>
            <w:tcW w:w="78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61F1CB6E" w14:textId="77777777" w:rsidR="009909BF" w:rsidRDefault="009909BF" w:rsidP="00155891">
            <w:pPr>
              <w:jc w:val="center"/>
            </w:pPr>
            <w:r>
              <w:rPr>
                <w:rFonts w:ascii="Arial" w:hAnsi="Arial"/>
                <w:color w:val="2C2C2C"/>
                <w:sz w:val="19"/>
              </w:rPr>
              <w:t>1.064</w:t>
            </w:r>
          </w:p>
        </w:tc>
        <w:tc>
          <w:tcPr>
            <w:tcW w:w="92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41614BA" w14:textId="77777777" w:rsidR="009909BF" w:rsidRDefault="009909BF" w:rsidP="00155891">
            <w:pPr>
              <w:jc w:val="center"/>
            </w:pPr>
            <w:r>
              <w:rPr>
                <w:rFonts w:ascii="Arial" w:hAnsi="Arial"/>
                <w:color w:val="1A6B3A"/>
                <w:sz w:val="19"/>
              </w:rPr>
              <w:t>+41.8%</w:t>
            </w:r>
          </w:p>
        </w:tc>
        <w:tc>
          <w:tcPr>
            <w:tcW w:w="8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2E25EE46" w14:textId="77777777" w:rsidR="009909BF" w:rsidRDefault="009909BF" w:rsidP="00155891">
            <w:pPr>
              <w:jc w:val="center"/>
            </w:pPr>
            <w:r>
              <w:rPr>
                <w:rFonts w:ascii="Arial" w:hAnsi="Arial"/>
                <w:color w:val="2C2C2C"/>
                <w:sz w:val="19"/>
              </w:rPr>
              <w:t>1.083</w:t>
            </w:r>
          </w:p>
        </w:tc>
        <w:tc>
          <w:tcPr>
            <w:tcW w:w="93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0032D0F2" w14:textId="77777777" w:rsidR="009909BF" w:rsidRDefault="009909BF" w:rsidP="00155891">
            <w:pPr>
              <w:jc w:val="center"/>
            </w:pPr>
            <w:r>
              <w:rPr>
                <w:rFonts w:ascii="Arial" w:hAnsi="Arial"/>
                <w:color w:val="1A6B3A"/>
                <w:sz w:val="19"/>
              </w:rPr>
              <w:t>+21.1%</w:t>
            </w:r>
          </w:p>
        </w:tc>
      </w:tr>
      <w:tr w:rsidR="009909BF" w14:paraId="6349770D"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A38EDB2" w14:textId="77777777" w:rsidR="009909BF" w:rsidRDefault="009909BF" w:rsidP="00155891">
            <w:pPr>
              <w:jc w:val="center"/>
            </w:pPr>
            <w:r>
              <w:rPr>
                <w:rFonts w:ascii="Arial" w:hAnsi="Arial"/>
                <w:b/>
                <w:color w:val="2C2C2C"/>
                <w:sz w:val="19"/>
              </w:rPr>
              <w:t>NVT</w:t>
            </w:r>
          </w:p>
        </w:tc>
        <w:tc>
          <w:tcPr>
            <w:tcW w:w="1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5038E46" w14:textId="77777777" w:rsidR="009909BF" w:rsidRDefault="009909BF" w:rsidP="00155891">
            <w:pPr>
              <w:jc w:val="center"/>
            </w:pPr>
            <w:proofErr w:type="spellStart"/>
            <w:r>
              <w:rPr>
                <w:rFonts w:ascii="Arial" w:hAnsi="Arial"/>
                <w:color w:val="2C2C2C"/>
                <w:sz w:val="19"/>
              </w:rPr>
              <w:t>nVent</w:t>
            </w:r>
            <w:proofErr w:type="spellEnd"/>
            <w:r>
              <w:rPr>
                <w:rFonts w:ascii="Arial" w:hAnsi="Arial"/>
                <w:color w:val="2C2C2C"/>
                <w:sz w:val="19"/>
              </w:rPr>
              <w:t xml:space="preserve"> Electric PLC</w:t>
            </w:r>
          </w:p>
        </w:tc>
        <w:tc>
          <w:tcPr>
            <w:tcW w:w="18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475C748" w14:textId="77777777" w:rsidR="009909BF" w:rsidRDefault="009909BF" w:rsidP="00155891">
            <w:pPr>
              <w:jc w:val="center"/>
            </w:pPr>
            <w:r>
              <w:rPr>
                <w:rFonts w:ascii="Arial" w:hAnsi="Arial"/>
                <w:color w:val="2C2C2C"/>
                <w:sz w:val="19"/>
              </w:rPr>
              <w:t xml:space="preserve">Thermal/Data </w:t>
            </w:r>
            <w:proofErr w:type="spellStart"/>
            <w:r>
              <w:rPr>
                <w:rFonts w:ascii="Arial" w:hAnsi="Arial"/>
                <w:color w:val="2C2C2C"/>
                <w:sz w:val="19"/>
              </w:rPr>
              <w:t>Ctr</w:t>
            </w:r>
            <w:proofErr w:type="spellEnd"/>
            <w:r>
              <w:rPr>
                <w:rFonts w:ascii="Arial" w:hAnsi="Arial"/>
                <w:color w:val="2C2C2C"/>
                <w:sz w:val="19"/>
              </w:rPr>
              <w:t xml:space="preserve"> (Long)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56AE34E" w14:textId="77777777" w:rsidR="009909BF" w:rsidRDefault="009909BF" w:rsidP="00155891">
            <w:pPr>
              <w:jc w:val="center"/>
            </w:pPr>
            <w:r>
              <w:rPr>
                <w:rFonts w:ascii="Arial" w:hAnsi="Arial"/>
                <w:color w:val="2C2C2C"/>
                <w:sz w:val="19"/>
              </w:rPr>
              <w:t>$131.38</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09F127C" w14:textId="77777777" w:rsidR="009909BF" w:rsidRDefault="009909BF" w:rsidP="00155891">
            <w:pPr>
              <w:jc w:val="center"/>
            </w:pPr>
            <w:r>
              <w:rPr>
                <w:rFonts w:ascii="Arial" w:hAnsi="Arial"/>
                <w:color w:val="2C2C2C"/>
                <w:sz w:val="19"/>
              </w:rPr>
              <w:t>50.5x</w:t>
            </w:r>
          </w:p>
        </w:tc>
        <w:tc>
          <w:tcPr>
            <w:tcW w:w="7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194EF26" w14:textId="77777777" w:rsidR="009909BF" w:rsidRDefault="009909BF" w:rsidP="00155891">
            <w:pPr>
              <w:jc w:val="center"/>
            </w:pPr>
            <w:r>
              <w:rPr>
                <w:rFonts w:ascii="Arial" w:hAnsi="Arial"/>
                <w:color w:val="2C2C2C"/>
                <w:sz w:val="19"/>
              </w:rPr>
              <w:t>1.300</w:t>
            </w:r>
          </w:p>
        </w:tc>
        <w:tc>
          <w:tcPr>
            <w:tcW w:w="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9A73EF4" w14:textId="77777777" w:rsidR="009909BF" w:rsidRDefault="009909BF" w:rsidP="00155891">
            <w:pPr>
              <w:jc w:val="center"/>
            </w:pPr>
            <w:r>
              <w:rPr>
                <w:rFonts w:ascii="Arial" w:hAnsi="Arial"/>
                <w:color w:val="1A6B3A"/>
                <w:sz w:val="19"/>
              </w:rPr>
              <w:t>+12.8%</w:t>
            </w:r>
          </w:p>
        </w:tc>
        <w:tc>
          <w:tcPr>
            <w:tcW w:w="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026C852" w14:textId="77777777" w:rsidR="009909BF" w:rsidRDefault="009909BF" w:rsidP="00155891">
            <w:pPr>
              <w:jc w:val="center"/>
            </w:pPr>
            <w:r>
              <w:rPr>
                <w:rFonts w:ascii="Arial" w:hAnsi="Arial"/>
                <w:color w:val="2C2C2C"/>
                <w:sz w:val="19"/>
              </w:rPr>
              <w:t>0.949</w:t>
            </w:r>
          </w:p>
        </w:tc>
        <w:tc>
          <w:tcPr>
            <w:tcW w:w="93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ADFB5AD" w14:textId="77777777" w:rsidR="009909BF" w:rsidRDefault="009909BF" w:rsidP="00155891">
            <w:pPr>
              <w:jc w:val="center"/>
            </w:pPr>
            <w:r>
              <w:rPr>
                <w:rFonts w:ascii="Arial" w:hAnsi="Arial"/>
                <w:color w:val="1A6B3A"/>
                <w:sz w:val="19"/>
              </w:rPr>
              <w:t>+17.8%</w:t>
            </w:r>
          </w:p>
        </w:tc>
      </w:tr>
      <w:tr w:rsidR="009909BF" w14:paraId="0BF71592"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4691953" w14:textId="77777777" w:rsidR="009909BF" w:rsidRDefault="009909BF" w:rsidP="00155891">
            <w:pPr>
              <w:jc w:val="center"/>
            </w:pPr>
            <w:r>
              <w:rPr>
                <w:rFonts w:ascii="Arial" w:hAnsi="Arial"/>
                <w:b/>
                <w:color w:val="2C2C2C"/>
                <w:sz w:val="19"/>
              </w:rPr>
              <w:t>ETN</w:t>
            </w:r>
          </w:p>
        </w:tc>
        <w:tc>
          <w:tcPr>
            <w:tcW w:w="1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EFD3256" w14:textId="77777777" w:rsidR="009909BF" w:rsidRDefault="009909BF" w:rsidP="00155891">
            <w:pPr>
              <w:jc w:val="center"/>
            </w:pPr>
            <w:r>
              <w:rPr>
                <w:rFonts w:ascii="Arial" w:hAnsi="Arial"/>
                <w:color w:val="2C2C2C"/>
                <w:sz w:val="19"/>
              </w:rPr>
              <w:t>Eaton Corporation PLC</w:t>
            </w:r>
          </w:p>
        </w:tc>
        <w:tc>
          <w:tcPr>
            <w:tcW w:w="18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280D505" w14:textId="77777777" w:rsidR="009909BF" w:rsidRDefault="009909BF" w:rsidP="00155891">
            <w:pPr>
              <w:jc w:val="center"/>
            </w:pPr>
            <w:r>
              <w:rPr>
                <w:rFonts w:ascii="Arial" w:hAnsi="Arial"/>
                <w:color w:val="2C2C2C"/>
                <w:sz w:val="19"/>
              </w:rPr>
              <w:t xml:space="preserve">Power </w:t>
            </w:r>
            <w:proofErr w:type="spellStart"/>
            <w:r>
              <w:rPr>
                <w:rFonts w:ascii="Arial" w:hAnsi="Arial"/>
                <w:color w:val="2C2C2C"/>
                <w:sz w:val="19"/>
              </w:rPr>
              <w:t>Mgmt</w:t>
            </w:r>
            <w:proofErr w:type="spellEnd"/>
            <w:r>
              <w:rPr>
                <w:rFonts w:ascii="Arial" w:hAnsi="Arial"/>
                <w:color w:val="2C2C2C"/>
                <w:sz w:val="19"/>
              </w:rPr>
              <w:t xml:space="preserve"> (Long)</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3792178" w14:textId="77777777" w:rsidR="009909BF" w:rsidRDefault="009909BF" w:rsidP="00155891">
            <w:pPr>
              <w:jc w:val="center"/>
            </w:pPr>
            <w:r>
              <w:rPr>
                <w:rFonts w:ascii="Arial" w:hAnsi="Arial"/>
                <w:color w:val="2C2C2C"/>
                <w:sz w:val="19"/>
              </w:rPr>
              <w:t>$395.00</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905CDC9" w14:textId="77777777" w:rsidR="009909BF" w:rsidRDefault="009909BF" w:rsidP="00155891">
            <w:pPr>
              <w:jc w:val="center"/>
            </w:pPr>
            <w:r>
              <w:rPr>
                <w:rFonts w:ascii="Arial" w:hAnsi="Arial"/>
                <w:color w:val="2C2C2C"/>
                <w:sz w:val="19"/>
              </w:rPr>
              <w:t>37.5x</w:t>
            </w:r>
          </w:p>
        </w:tc>
        <w:tc>
          <w:tcPr>
            <w:tcW w:w="7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EB48604" w14:textId="77777777" w:rsidR="009909BF" w:rsidRDefault="009909BF" w:rsidP="00155891">
            <w:pPr>
              <w:jc w:val="center"/>
            </w:pPr>
            <w:r>
              <w:rPr>
                <w:rFonts w:ascii="Arial" w:hAnsi="Arial"/>
                <w:color w:val="2C2C2C"/>
                <w:sz w:val="19"/>
              </w:rPr>
              <w:t>1.185</w:t>
            </w:r>
          </w:p>
        </w:tc>
        <w:tc>
          <w:tcPr>
            <w:tcW w:w="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E8613CF" w14:textId="77777777" w:rsidR="009909BF" w:rsidRDefault="009909BF" w:rsidP="00155891">
            <w:pPr>
              <w:jc w:val="center"/>
            </w:pPr>
            <w:r>
              <w:rPr>
                <w:rFonts w:ascii="Arial" w:hAnsi="Arial"/>
                <w:color w:val="1A6B3A"/>
                <w:sz w:val="19"/>
              </w:rPr>
              <w:t>+8.6%</w:t>
            </w:r>
          </w:p>
        </w:tc>
        <w:tc>
          <w:tcPr>
            <w:tcW w:w="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8B2A332" w14:textId="77777777" w:rsidR="009909BF" w:rsidRDefault="009909BF" w:rsidP="00155891">
            <w:pPr>
              <w:jc w:val="center"/>
            </w:pPr>
            <w:r>
              <w:rPr>
                <w:rFonts w:ascii="Arial" w:hAnsi="Arial"/>
                <w:color w:val="2C2C2C"/>
                <w:sz w:val="19"/>
              </w:rPr>
              <w:t>0.725</w:t>
            </w:r>
          </w:p>
        </w:tc>
        <w:tc>
          <w:tcPr>
            <w:tcW w:w="93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82B9B72" w14:textId="77777777" w:rsidR="009909BF" w:rsidRDefault="009909BF" w:rsidP="00155891">
            <w:pPr>
              <w:jc w:val="center"/>
            </w:pPr>
            <w:r>
              <w:rPr>
                <w:rFonts w:ascii="Arial" w:hAnsi="Arial"/>
                <w:color w:val="1A6B3A"/>
                <w:sz w:val="19"/>
              </w:rPr>
              <w:t>+14.6%</w:t>
            </w:r>
          </w:p>
        </w:tc>
      </w:tr>
      <w:tr w:rsidR="009909BF" w14:paraId="3CD1BC2A"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1033B83" w14:textId="77777777" w:rsidR="009909BF" w:rsidRDefault="009909BF" w:rsidP="00155891">
            <w:pPr>
              <w:jc w:val="center"/>
            </w:pPr>
            <w:r>
              <w:rPr>
                <w:rFonts w:ascii="Arial" w:hAnsi="Arial"/>
                <w:b/>
                <w:color w:val="2C2C2C"/>
                <w:sz w:val="19"/>
              </w:rPr>
              <w:t>PWR</w:t>
            </w:r>
          </w:p>
        </w:tc>
        <w:tc>
          <w:tcPr>
            <w:tcW w:w="1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40ED048" w14:textId="77777777" w:rsidR="009909BF" w:rsidRDefault="009909BF" w:rsidP="00155891">
            <w:pPr>
              <w:jc w:val="center"/>
            </w:pPr>
            <w:r>
              <w:rPr>
                <w:rFonts w:ascii="Arial" w:hAnsi="Arial"/>
                <w:color w:val="2C2C2C"/>
                <w:sz w:val="19"/>
              </w:rPr>
              <w:t>Quanta Services Inc.</w:t>
            </w:r>
          </w:p>
        </w:tc>
        <w:tc>
          <w:tcPr>
            <w:tcW w:w="18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7591CC5" w14:textId="77777777" w:rsidR="009909BF" w:rsidRDefault="009909BF" w:rsidP="00155891">
            <w:pPr>
              <w:jc w:val="center"/>
            </w:pPr>
            <w:proofErr w:type="spellStart"/>
            <w:r>
              <w:rPr>
                <w:rFonts w:ascii="Arial" w:hAnsi="Arial"/>
                <w:color w:val="2C2C2C"/>
                <w:sz w:val="19"/>
              </w:rPr>
              <w:t>Grid</w:t>
            </w:r>
            <w:proofErr w:type="spellEnd"/>
            <w:r>
              <w:rPr>
                <w:rFonts w:ascii="Arial" w:hAnsi="Arial"/>
                <w:color w:val="2C2C2C"/>
                <w:sz w:val="19"/>
              </w:rPr>
              <w:t xml:space="preserve"> Builder (Long)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0B17766" w14:textId="77777777" w:rsidR="009909BF" w:rsidRDefault="009909BF" w:rsidP="00155891">
            <w:pPr>
              <w:jc w:val="center"/>
            </w:pPr>
            <w:r>
              <w:rPr>
                <w:rFonts w:ascii="Arial" w:hAnsi="Arial"/>
                <w:color w:val="2C2C2C"/>
                <w:sz w:val="19"/>
              </w:rPr>
              <w:t>$585.36</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33E68FC" w14:textId="77777777" w:rsidR="009909BF" w:rsidRDefault="009909BF" w:rsidP="00155891">
            <w:pPr>
              <w:jc w:val="center"/>
            </w:pPr>
            <w:r>
              <w:rPr>
                <w:rFonts w:ascii="Arial" w:hAnsi="Arial"/>
                <w:color w:val="2C2C2C"/>
                <w:sz w:val="19"/>
              </w:rPr>
              <w:t>54.5x</w:t>
            </w:r>
          </w:p>
        </w:tc>
        <w:tc>
          <w:tcPr>
            <w:tcW w:w="7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C4E58B9" w14:textId="77777777" w:rsidR="009909BF" w:rsidRDefault="009909BF" w:rsidP="00155891">
            <w:pPr>
              <w:jc w:val="center"/>
            </w:pPr>
            <w:r>
              <w:rPr>
                <w:rFonts w:ascii="Arial" w:hAnsi="Arial"/>
                <w:color w:val="2C2C2C"/>
                <w:sz w:val="19"/>
              </w:rPr>
              <w:t>1.143</w:t>
            </w:r>
          </w:p>
        </w:tc>
        <w:tc>
          <w:tcPr>
            <w:tcW w:w="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4AE8E7D" w14:textId="77777777" w:rsidR="009909BF" w:rsidRDefault="009909BF" w:rsidP="00155891">
            <w:pPr>
              <w:jc w:val="center"/>
            </w:pPr>
            <w:r>
              <w:rPr>
                <w:rFonts w:ascii="Arial" w:hAnsi="Arial"/>
                <w:color w:val="1A6B3A"/>
                <w:sz w:val="19"/>
              </w:rPr>
              <w:t>+13.3%</w:t>
            </w:r>
          </w:p>
        </w:tc>
        <w:tc>
          <w:tcPr>
            <w:tcW w:w="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79D5715" w14:textId="77777777" w:rsidR="009909BF" w:rsidRDefault="009909BF" w:rsidP="00155891">
            <w:pPr>
              <w:jc w:val="center"/>
            </w:pPr>
            <w:r>
              <w:rPr>
                <w:rFonts w:ascii="Arial" w:hAnsi="Arial"/>
                <w:color w:val="2C2C2C"/>
                <w:sz w:val="19"/>
              </w:rPr>
              <w:t>1.204</w:t>
            </w:r>
          </w:p>
        </w:tc>
        <w:tc>
          <w:tcPr>
            <w:tcW w:w="93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A229C45" w14:textId="77777777" w:rsidR="009909BF" w:rsidRDefault="009909BF" w:rsidP="00155891">
            <w:pPr>
              <w:jc w:val="center"/>
            </w:pPr>
            <w:r>
              <w:rPr>
                <w:rFonts w:ascii="Arial" w:hAnsi="Arial"/>
                <w:color w:val="1A6B3A"/>
                <w:sz w:val="19"/>
              </w:rPr>
              <w:t>+14.0%</w:t>
            </w:r>
          </w:p>
        </w:tc>
      </w:tr>
      <w:tr w:rsidR="009909BF" w14:paraId="1A802E50"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52C5A78" w14:textId="77777777" w:rsidR="009909BF" w:rsidRDefault="009909BF" w:rsidP="00155891">
            <w:pPr>
              <w:jc w:val="center"/>
            </w:pPr>
            <w:r>
              <w:rPr>
                <w:rFonts w:ascii="Arial" w:hAnsi="Arial"/>
                <w:b/>
                <w:color w:val="2C2C2C"/>
                <w:sz w:val="19"/>
              </w:rPr>
              <w:t>HUBB</w:t>
            </w:r>
          </w:p>
        </w:tc>
        <w:tc>
          <w:tcPr>
            <w:tcW w:w="1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19784D0" w14:textId="77777777" w:rsidR="009909BF" w:rsidRDefault="009909BF" w:rsidP="00155891">
            <w:pPr>
              <w:jc w:val="center"/>
            </w:pPr>
            <w:r>
              <w:rPr>
                <w:rFonts w:ascii="Arial" w:hAnsi="Arial"/>
                <w:color w:val="2C2C2C"/>
                <w:sz w:val="19"/>
              </w:rPr>
              <w:t>Hubbell Inc.</w:t>
            </w:r>
          </w:p>
        </w:tc>
        <w:tc>
          <w:tcPr>
            <w:tcW w:w="18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CCEE386" w14:textId="77777777" w:rsidR="009909BF" w:rsidRDefault="009909BF" w:rsidP="00155891">
            <w:pPr>
              <w:jc w:val="center"/>
            </w:pPr>
            <w:proofErr w:type="spellStart"/>
            <w:r>
              <w:rPr>
                <w:rFonts w:ascii="Arial" w:hAnsi="Arial"/>
                <w:color w:val="2C2C2C"/>
                <w:sz w:val="19"/>
              </w:rPr>
              <w:t>Grid</w:t>
            </w:r>
            <w:proofErr w:type="spellEnd"/>
            <w:r>
              <w:rPr>
                <w:rFonts w:ascii="Arial" w:hAnsi="Arial"/>
                <w:color w:val="2C2C2C"/>
                <w:sz w:val="19"/>
              </w:rPr>
              <w:t xml:space="preserve"> Solutions (Long)</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7FB5BDB" w14:textId="77777777" w:rsidR="009909BF" w:rsidRDefault="009909BF" w:rsidP="00155891">
            <w:pPr>
              <w:jc w:val="center"/>
            </w:pPr>
            <w:r>
              <w:rPr>
                <w:rFonts w:ascii="Arial" w:hAnsi="Arial"/>
                <w:color w:val="2C2C2C"/>
                <w:sz w:val="19"/>
              </w:rPr>
              <w:t>$526.94</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0FFA1AC" w14:textId="77777777" w:rsidR="009909BF" w:rsidRDefault="009909BF" w:rsidP="00155891">
            <w:pPr>
              <w:jc w:val="center"/>
            </w:pPr>
            <w:r>
              <w:rPr>
                <w:rFonts w:ascii="Arial" w:hAnsi="Arial"/>
                <w:color w:val="2C2C2C"/>
                <w:sz w:val="19"/>
              </w:rPr>
              <w:t>33.4x</w:t>
            </w:r>
          </w:p>
        </w:tc>
        <w:tc>
          <w:tcPr>
            <w:tcW w:w="7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9EA1768" w14:textId="77777777" w:rsidR="009909BF" w:rsidRDefault="009909BF" w:rsidP="00155891">
            <w:pPr>
              <w:jc w:val="center"/>
            </w:pPr>
            <w:r>
              <w:rPr>
                <w:rFonts w:ascii="Arial" w:hAnsi="Arial"/>
                <w:color w:val="2C2C2C"/>
                <w:sz w:val="19"/>
              </w:rPr>
              <w:t>0.986</w:t>
            </w:r>
          </w:p>
        </w:tc>
        <w:tc>
          <w:tcPr>
            <w:tcW w:w="9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490B50B" w14:textId="77777777" w:rsidR="009909BF" w:rsidRDefault="009909BF" w:rsidP="00155891">
            <w:pPr>
              <w:jc w:val="center"/>
            </w:pPr>
            <w:r>
              <w:rPr>
                <w:rFonts w:ascii="Arial" w:hAnsi="Arial"/>
                <w:color w:val="1A6B3A"/>
                <w:sz w:val="19"/>
              </w:rPr>
              <w:t>+13.7%</w:t>
            </w:r>
          </w:p>
        </w:tc>
        <w:tc>
          <w:tcPr>
            <w:tcW w:w="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E7E2CAF" w14:textId="77777777" w:rsidR="009909BF" w:rsidRDefault="009909BF" w:rsidP="00155891">
            <w:pPr>
              <w:jc w:val="center"/>
            </w:pPr>
            <w:r>
              <w:rPr>
                <w:rFonts w:ascii="Arial" w:hAnsi="Arial"/>
                <w:color w:val="2C2C2C"/>
                <w:sz w:val="19"/>
              </w:rPr>
              <w:t>0.726</w:t>
            </w:r>
          </w:p>
        </w:tc>
        <w:tc>
          <w:tcPr>
            <w:tcW w:w="93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984E635" w14:textId="77777777" w:rsidR="009909BF" w:rsidRDefault="009909BF" w:rsidP="00155891">
            <w:pPr>
              <w:jc w:val="center"/>
            </w:pPr>
            <w:r>
              <w:rPr>
                <w:rFonts w:ascii="Arial" w:hAnsi="Arial"/>
                <w:color w:val="1A6B3A"/>
                <w:sz w:val="19"/>
              </w:rPr>
              <w:t>+7.3%</w:t>
            </w:r>
          </w:p>
        </w:tc>
      </w:tr>
      <w:tr w:rsidR="009909BF" w14:paraId="1CD88111" w14:textId="77777777" w:rsidTr="009909BF">
        <w:tblPrEx>
          <w:tblCellMar>
            <w:top w:w="0" w:type="dxa"/>
            <w:bottom w:w="0" w:type="dxa"/>
          </w:tblCellMar>
        </w:tblPrEx>
        <w:trPr>
          <w:jc w:val="center"/>
        </w:trPr>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27D693C" w14:textId="77777777" w:rsidR="009909BF" w:rsidRDefault="009909BF" w:rsidP="00155891">
            <w:pPr>
              <w:jc w:val="center"/>
            </w:pPr>
            <w:r>
              <w:rPr>
                <w:rFonts w:ascii="Arial" w:hAnsi="Arial"/>
                <w:b/>
                <w:color w:val="2C2C2C"/>
                <w:sz w:val="19"/>
              </w:rPr>
              <w:t>AEP</w:t>
            </w:r>
          </w:p>
        </w:tc>
        <w:tc>
          <w:tcPr>
            <w:tcW w:w="1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03B0926" w14:textId="77777777" w:rsidR="009909BF" w:rsidRDefault="009909BF" w:rsidP="00155891">
            <w:pPr>
              <w:jc w:val="center"/>
            </w:pPr>
            <w:r>
              <w:rPr>
                <w:rFonts w:ascii="Arial" w:hAnsi="Arial"/>
                <w:color w:val="2C2C2C"/>
                <w:sz w:val="19"/>
              </w:rPr>
              <w:t>American Electric Power</w:t>
            </w:r>
          </w:p>
        </w:tc>
        <w:tc>
          <w:tcPr>
            <w:tcW w:w="18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3DAD54A" w14:textId="77777777" w:rsidR="009909BF" w:rsidRDefault="009909BF" w:rsidP="00155891">
            <w:pPr>
              <w:jc w:val="center"/>
            </w:pPr>
            <w:r>
              <w:rPr>
                <w:rFonts w:ascii="Arial" w:hAnsi="Arial"/>
                <w:color w:val="2C2C2C"/>
                <w:sz w:val="19"/>
              </w:rPr>
              <w:t xml:space="preserve">Utility </w:t>
            </w:r>
            <w:proofErr w:type="spellStart"/>
            <w:r>
              <w:rPr>
                <w:rFonts w:ascii="Arial" w:hAnsi="Arial"/>
                <w:color w:val="2C2C2C"/>
                <w:sz w:val="19"/>
              </w:rPr>
              <w:t>Defensive</w:t>
            </w:r>
            <w:proofErr w:type="spellEnd"/>
            <w:r>
              <w:rPr>
                <w:rFonts w:ascii="Arial" w:hAnsi="Arial"/>
                <w:color w:val="2C2C2C"/>
                <w:sz w:val="19"/>
              </w:rPr>
              <w:t xml:space="preserve"> (Long)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D355399" w14:textId="77777777" w:rsidR="009909BF" w:rsidRDefault="009909BF" w:rsidP="00155891">
            <w:pPr>
              <w:jc w:val="center"/>
            </w:pPr>
            <w:r>
              <w:rPr>
                <w:rFonts w:ascii="Arial" w:hAnsi="Arial"/>
                <w:color w:val="2C2C2C"/>
                <w:sz w:val="19"/>
              </w:rPr>
              <w:t>$131.50</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1D4D4A5" w14:textId="77777777" w:rsidR="009909BF" w:rsidRDefault="009909BF" w:rsidP="00155891">
            <w:pPr>
              <w:jc w:val="center"/>
            </w:pPr>
            <w:r>
              <w:rPr>
                <w:rFonts w:ascii="Arial" w:hAnsi="Arial"/>
                <w:color w:val="2C2C2C"/>
                <w:sz w:val="19"/>
              </w:rPr>
              <w:t>24.6x</w:t>
            </w:r>
          </w:p>
        </w:tc>
        <w:tc>
          <w:tcPr>
            <w:tcW w:w="7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CEEA364" w14:textId="77777777" w:rsidR="009909BF" w:rsidRDefault="009909BF" w:rsidP="00155891">
            <w:pPr>
              <w:jc w:val="center"/>
            </w:pPr>
            <w:r>
              <w:rPr>
                <w:rFonts w:ascii="Arial" w:hAnsi="Arial"/>
                <w:color w:val="2C2C2C"/>
                <w:sz w:val="19"/>
              </w:rPr>
              <w:t>0.660</w:t>
            </w:r>
          </w:p>
        </w:tc>
        <w:tc>
          <w:tcPr>
            <w:tcW w:w="9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9FF3149" w14:textId="77777777" w:rsidR="009909BF" w:rsidRDefault="009909BF" w:rsidP="00155891">
            <w:pPr>
              <w:jc w:val="center"/>
            </w:pPr>
            <w:r>
              <w:rPr>
                <w:rFonts w:ascii="Arial" w:hAnsi="Arial"/>
                <w:color w:val="1A6B3A"/>
                <w:sz w:val="19"/>
              </w:rPr>
              <w:t>+2.6%</w:t>
            </w:r>
          </w:p>
        </w:tc>
        <w:tc>
          <w:tcPr>
            <w:tcW w:w="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E127E08" w14:textId="77777777" w:rsidR="009909BF" w:rsidRDefault="009909BF" w:rsidP="00155891">
            <w:pPr>
              <w:jc w:val="center"/>
            </w:pPr>
            <w:r>
              <w:rPr>
                <w:rFonts w:ascii="Arial" w:hAnsi="Arial"/>
                <w:color w:val="2C2C2C"/>
                <w:sz w:val="19"/>
              </w:rPr>
              <w:t>0.303</w:t>
            </w:r>
          </w:p>
        </w:tc>
        <w:tc>
          <w:tcPr>
            <w:tcW w:w="93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679E1CE" w14:textId="77777777" w:rsidR="009909BF" w:rsidRDefault="009909BF" w:rsidP="00155891">
            <w:pPr>
              <w:jc w:val="center"/>
            </w:pPr>
            <w:r>
              <w:rPr>
                <w:rFonts w:ascii="Arial" w:hAnsi="Arial"/>
                <w:color w:val="1A6B3A"/>
                <w:sz w:val="19"/>
              </w:rPr>
              <w:t>+1.9%</w:t>
            </w:r>
          </w:p>
        </w:tc>
      </w:tr>
    </w:tbl>
    <w:p w14:paraId="577E666A" w14:textId="77777777" w:rsidR="005C4523" w:rsidRDefault="005C4523" w:rsidP="009909BF">
      <w:pPr>
        <w:spacing w:before="30" w:after="100"/>
        <w:rPr>
          <w:rFonts w:ascii="Arial" w:eastAsia="Arial" w:hAnsi="Arial" w:cs="Arial"/>
          <w:color w:val="666666"/>
          <w:sz w:val="17"/>
          <w:lang w:val="en-CA"/>
        </w:rPr>
      </w:pPr>
    </w:p>
    <w:p w14:paraId="612E92DE" w14:textId="77777777" w:rsidR="009909BF" w:rsidRDefault="009909BF" w:rsidP="009909BF">
      <w:pPr>
        <w:spacing w:before="30" w:after="100"/>
        <w:jc w:val="center"/>
      </w:pPr>
      <w:r w:rsidRPr="009909BF">
        <w:rPr>
          <w:rFonts w:ascii="Arial" w:eastAsia="Arial" w:hAnsi="Arial" w:cs="Arial"/>
          <w:color w:val="666666"/>
          <w:sz w:val="17"/>
          <w:lang w:val="en-CA"/>
        </w:rPr>
        <w:t xml:space="preserve">Table </w:t>
      </w:r>
      <w:proofErr w:type="gramStart"/>
      <w:r w:rsidRPr="009909BF">
        <w:rPr>
          <w:rFonts w:ascii="Arial" w:eastAsia="Arial" w:hAnsi="Arial" w:cs="Arial"/>
          <w:color w:val="666666"/>
          <w:sz w:val="17"/>
          <w:lang w:val="en-CA"/>
        </w:rPr>
        <w:t>4.3  -</w:t>
      </w:r>
      <w:proofErr w:type="gramEnd"/>
      <w:r w:rsidRPr="009909BF">
        <w:rPr>
          <w:rFonts w:ascii="Arial" w:eastAsia="Arial" w:hAnsi="Arial" w:cs="Arial"/>
          <w:color w:val="666666"/>
          <w:sz w:val="17"/>
          <w:lang w:val="en-CA"/>
        </w:rPr>
        <w:t xml:space="preserve">  ACWI Active Universe: Full Security Summary. Prices as of April 15, 2026. Adj. Alpha from Panel E; Active Wt. from Panel G. Source: Data. </w:t>
      </w:r>
      <w:r>
        <w:rPr>
          <w:rFonts w:ascii="Arial" w:eastAsia="Arial" w:hAnsi="Arial" w:cs="Arial"/>
          <w:color w:val="666666"/>
          <w:sz w:val="17"/>
        </w:rPr>
        <w:t xml:space="preserve">Securities &amp; Security Allocation </w:t>
      </w:r>
      <w:proofErr w:type="spellStart"/>
      <w:r>
        <w:rPr>
          <w:rFonts w:ascii="Arial" w:eastAsia="Arial" w:hAnsi="Arial" w:cs="Arial"/>
          <w:color w:val="666666"/>
          <w:sz w:val="17"/>
        </w:rPr>
        <w:t>sheets</w:t>
      </w:r>
      <w:proofErr w:type="spellEnd"/>
      <w:r>
        <w:rPr>
          <w:rFonts w:ascii="Arial" w:eastAsia="Arial" w:hAnsi="Arial" w:cs="Arial"/>
          <w:color w:val="666666"/>
          <w:sz w:val="17"/>
        </w:rPr>
        <w:t>, ACWI_index_FV.xlsx.</w:t>
      </w:r>
    </w:p>
    <w:p w14:paraId="2438BC95" w14:textId="43D75F7E" w:rsidR="005C4523" w:rsidRDefault="009909BF" w:rsidP="009909BF">
      <w:pPr>
        <w:spacing w:before="30" w:after="100"/>
        <w:jc w:val="center"/>
      </w:pPr>
      <w:r>
        <w:rPr>
          <w:noProof/>
        </w:rPr>
        <w:drawing>
          <wp:inline distT="0" distB="0" distL="0" distR="0" wp14:anchorId="38773459" wp14:editId="5020106D">
            <wp:extent cx="6000750" cy="3600450"/>
            <wp:effectExtent l="0" t="0" r="0" b="0"/>
            <wp:docPr id="512128675" name="Picture 512128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000750" cy="3600450"/>
                    </a:xfrm>
                    <a:prstGeom prst="rect">
                      <a:avLst/>
                    </a:prstGeom>
                  </pic:spPr>
                </pic:pic>
              </a:graphicData>
            </a:graphic>
          </wp:inline>
        </w:drawing>
      </w:r>
    </w:p>
    <w:p w14:paraId="0AB18D1E" w14:textId="6AA30D1C" w:rsidR="009909BF" w:rsidRDefault="009909BF" w:rsidP="009909BF">
      <w:pPr>
        <w:spacing w:before="30" w:after="100"/>
        <w:jc w:val="center"/>
      </w:pPr>
      <w:r w:rsidRPr="009909BF">
        <w:rPr>
          <w:rFonts w:ascii="Arial" w:eastAsia="Arial" w:hAnsi="Arial" w:cs="Arial"/>
          <w:color w:val="666666"/>
          <w:sz w:val="17"/>
          <w:lang w:val="en-CA"/>
        </w:rPr>
        <w:t xml:space="preserve">Figure </w:t>
      </w:r>
      <w:proofErr w:type="gramStart"/>
      <w:r w:rsidRPr="009909BF">
        <w:rPr>
          <w:rFonts w:ascii="Arial" w:eastAsia="Arial" w:hAnsi="Arial" w:cs="Arial"/>
          <w:color w:val="666666"/>
          <w:sz w:val="17"/>
          <w:lang w:val="en-CA"/>
        </w:rPr>
        <w:t>4.3  -</w:t>
      </w:r>
      <w:proofErr w:type="gramEnd"/>
      <w:r w:rsidRPr="009909BF">
        <w:rPr>
          <w:rFonts w:ascii="Arial" w:eastAsia="Arial" w:hAnsi="Arial" w:cs="Arial"/>
          <w:color w:val="666666"/>
          <w:sz w:val="17"/>
          <w:lang w:val="en-CA"/>
        </w:rPr>
        <w:t xml:space="preserve">  Adjusted Alpha (Alpha) vs. Beta (Beta): Security Selection Map. Bubble size proportional to |Alpha|. Positive Alpha = long signal; Negative Alpha = short signal. ETN's negative adjusted alpha (-3.3%) drives its short position in the active portfolio. </w:t>
      </w:r>
      <w:r>
        <w:rPr>
          <w:rFonts w:ascii="Arial" w:eastAsia="Arial" w:hAnsi="Arial" w:cs="Arial"/>
          <w:color w:val="666666"/>
          <w:sz w:val="17"/>
        </w:rPr>
        <w:t>Source: Panel E, ACWI_index_FV.xlsx.</w:t>
      </w:r>
    </w:p>
    <w:p w14:paraId="5551B329" w14:textId="2BE00566" w:rsidR="0040102C" w:rsidRDefault="0040102C" w:rsidP="009909BF">
      <w:pPr>
        <w:jc w:val="center"/>
        <w:rPr>
          <w:lang w:val="en-CA"/>
        </w:rPr>
      </w:pPr>
    </w:p>
    <w:p w14:paraId="4D84C25E" w14:textId="1F9632D8" w:rsidR="00DD4ABB" w:rsidRDefault="005C4523" w:rsidP="005C4523">
      <w:pPr>
        <w:pStyle w:val="Heading3"/>
      </w:pPr>
      <w:bookmarkStart w:id="32" w:name="_Toc227618168"/>
      <w:r>
        <w:t xml:space="preserve">4.5 Individual Stock Analysis &amp; </w:t>
      </w:r>
      <w:r w:rsidR="00175B2B">
        <w:t>ACWI</w:t>
      </w:r>
      <w:r>
        <w:t xml:space="preserve"> Thesis Rationale</w:t>
      </w:r>
      <w:bookmarkEnd w:id="32"/>
    </w:p>
    <w:p w14:paraId="123DC5A4" w14:textId="3964ECE9" w:rsidR="005C4523" w:rsidRPr="005C4523" w:rsidRDefault="009909BF" w:rsidP="005C4523">
      <w:pPr>
        <w:pStyle w:val="Heading4"/>
      </w:pPr>
      <w:proofErr w:type="gramStart"/>
      <w:r w:rsidRPr="009909BF">
        <w:t>4.5.1  SBGSY</w:t>
      </w:r>
      <w:proofErr w:type="gramEnd"/>
      <w:r w:rsidRPr="009909BF">
        <w:t xml:space="preserve"> — Schneider Electric SA ADR [Weight: 23.39% — Largest Active Position]</w:t>
      </w:r>
    </w:p>
    <w:p w14:paraId="164A80A0" w14:textId="471D31A3" w:rsidR="005C4523" w:rsidRPr="005C4523" w:rsidRDefault="005C4523" w:rsidP="009909BF">
      <w:pPr>
        <w:rPr>
          <w:lang w:val="en-CA"/>
        </w:rPr>
      </w:pPr>
      <w:r w:rsidRPr="005C4523">
        <w:rPr>
          <w:b/>
          <w:color w:val="1F3864"/>
          <w:lang w:val="en-CA"/>
        </w:rPr>
        <w:t xml:space="preserve">Role: </w:t>
      </w:r>
      <w:r w:rsidRPr="005C4523">
        <w:rPr>
          <w:lang w:val="en-CA"/>
        </w:rPr>
        <w:t>The portfolio's highest-conviction active position. Itron manufactures smart meters, grid edge intelligence devices, and data analytics platforms</w:t>
      </w:r>
      <w:r w:rsidR="00593F91">
        <w:rPr>
          <w:lang w:val="en-CA"/>
        </w:rPr>
        <w:t xml:space="preserve">, </w:t>
      </w:r>
      <w:r w:rsidRPr="005C4523">
        <w:rPr>
          <w:lang w:val="en-CA"/>
        </w:rPr>
        <w:t>the physical hardware backbone of the AI-driven grid upgrade.</w:t>
      </w:r>
    </w:p>
    <w:p w14:paraId="4335249C" w14:textId="774941BA" w:rsidR="005C4523" w:rsidRPr="005C4523" w:rsidRDefault="005C4523" w:rsidP="009909BF">
      <w:pPr>
        <w:rPr>
          <w:lang w:val="en-CA"/>
        </w:rPr>
      </w:pPr>
      <w:r w:rsidRPr="005C4523">
        <w:rPr>
          <w:b/>
          <w:color w:val="1F3864"/>
          <w:lang w:val="en-CA"/>
        </w:rPr>
        <w:t xml:space="preserve">Alpha Rationale: </w:t>
      </w:r>
      <w:r w:rsidRPr="005C4523">
        <w:rPr>
          <w:lang w:val="en-CA"/>
        </w:rPr>
        <w:t>Adjusted Alpha = 10.23%</w:t>
      </w:r>
      <w:r w:rsidR="00593F91">
        <w:rPr>
          <w:lang w:val="en-CA"/>
        </w:rPr>
        <w:t xml:space="preserve">, </w:t>
      </w:r>
      <w:r w:rsidRPr="005C4523">
        <w:rPr>
          <w:lang w:val="en-CA"/>
        </w:rPr>
        <w:t>highest among all long positions. This reflects Itron's position at the epicentre of the smart meter deployment cycle: the U.S. alone has 10+ years of smart meter replacement ahead, and Itron holds leading market share. The alpha is adjusted for valuation, and at P/E 17.0x</w:t>
      </w:r>
      <w:proofErr w:type="gramStart"/>
      <w:r w:rsidR="00593F91">
        <w:rPr>
          <w:lang w:val="en-CA"/>
        </w:rPr>
        <w:t xml:space="preserve">, </w:t>
      </w:r>
      <w:r w:rsidRPr="005C4523">
        <w:rPr>
          <w:lang w:val="en-CA"/>
        </w:rPr>
        <w:t xml:space="preserve"> a</w:t>
      </w:r>
      <w:proofErr w:type="gramEnd"/>
      <w:r w:rsidRPr="005C4523">
        <w:rPr>
          <w:lang w:val="en-CA"/>
        </w:rPr>
        <w:t xml:space="preserve"> 43% discount to the market average of </w:t>
      </w:r>
      <w:r w:rsidR="00593F91" w:rsidRPr="005C4523">
        <w:rPr>
          <w:lang w:val="en-CA"/>
        </w:rPr>
        <w:t>29.7x.</w:t>
      </w:r>
      <w:r w:rsidRPr="005C4523">
        <w:rPr>
          <w:lang w:val="en-CA"/>
        </w:rPr>
        <w:t xml:space="preserve">  Itron is the cheapest stock in the universe relative to its growth earnings power.</w:t>
      </w:r>
    </w:p>
    <w:p w14:paraId="68CA4E22" w14:textId="082C33C9" w:rsidR="005C4523" w:rsidRPr="005C4523" w:rsidRDefault="005C4523" w:rsidP="009909BF">
      <w:pPr>
        <w:rPr>
          <w:lang w:val="en-CA"/>
        </w:rPr>
      </w:pPr>
      <w:r w:rsidRPr="005C4523">
        <w:rPr>
          <w:b/>
          <w:color w:val="1F3864"/>
          <w:lang w:val="en-CA"/>
        </w:rPr>
        <w:lastRenderedPageBreak/>
        <w:t xml:space="preserve">Thesis: </w:t>
      </w:r>
      <w:r w:rsidRPr="005C4523">
        <w:rPr>
          <w:lang w:val="en-CA"/>
        </w:rPr>
        <w:t>As AI data centres multiply, grid operators need real-time visibility into power flows. Itron's advanced metering infrastructure (AMI) systems are the primary tool utilities use to achieve this. The company has a $4.7 billion backlog as of 2025 and analyst consensus target of $125.24</w:t>
      </w:r>
      <w:r w:rsidR="00593F91">
        <w:rPr>
          <w:lang w:val="en-CA"/>
        </w:rPr>
        <w:t xml:space="preserve">, </w:t>
      </w:r>
      <w:r w:rsidRPr="005C4523">
        <w:rPr>
          <w:lang w:val="en-CA"/>
        </w:rPr>
        <w:t>representing +30.3% upside from current price of $96.</w:t>
      </w:r>
      <w:r w:rsidR="00593F91" w:rsidRPr="005C4523">
        <w:rPr>
          <w:lang w:val="en-CA"/>
        </w:rPr>
        <w:t>10</w:t>
      </w:r>
      <w:r w:rsidR="00593F91">
        <w:rPr>
          <w:lang w:val="en-CA"/>
        </w:rPr>
        <w:t xml:space="preserve">, </w:t>
      </w:r>
      <w:r w:rsidR="00593F91" w:rsidRPr="005C4523">
        <w:rPr>
          <w:lang w:val="en-CA"/>
        </w:rPr>
        <w:t>the</w:t>
      </w:r>
      <w:r w:rsidRPr="005C4523">
        <w:rPr>
          <w:lang w:val="en-CA"/>
        </w:rPr>
        <w:t xml:space="preserve"> only stock in the portfolio with positive consensus target return.</w:t>
      </w:r>
    </w:p>
    <w:p w14:paraId="342469E9" w14:textId="171CC3D9" w:rsidR="005C4523" w:rsidRPr="005C4523" w:rsidRDefault="005C4523" w:rsidP="009909BF">
      <w:pPr>
        <w:rPr>
          <w:lang w:val="en-CA"/>
        </w:rPr>
      </w:pPr>
      <w:r w:rsidRPr="005C4523">
        <w:rPr>
          <w:b/>
          <w:color w:val="1F3864"/>
          <w:lang w:val="en-CA"/>
        </w:rPr>
        <w:t xml:space="preserve">Beta: </w:t>
      </w:r>
      <w:r w:rsidRPr="005C4523">
        <w:rPr>
          <w:lang w:val="en-CA"/>
        </w:rPr>
        <w:t>0.860</w:t>
      </w:r>
      <w:r w:rsidR="00593F91">
        <w:rPr>
          <w:lang w:val="en-CA"/>
        </w:rPr>
        <w:t>,</w:t>
      </w:r>
      <w:r w:rsidRPr="005C4523">
        <w:rPr>
          <w:lang w:val="en-CA"/>
        </w:rPr>
        <w:t xml:space="preserve"> below market, meaning Itron delivers its alpha with below-average systematic exposure, enhancing risk-adjusted returns.</w:t>
      </w:r>
    </w:p>
    <w:p w14:paraId="6C9F50EB" w14:textId="3E7CC287" w:rsidR="000F1BB2" w:rsidRPr="000F1BB2" w:rsidRDefault="005C4523" w:rsidP="000F1BB2">
      <w:pPr>
        <w:pBdr>
          <w:left w:val="single" w:sz="3" w:space="0" w:color="C9A84C"/>
        </w:pBdr>
        <w:spacing w:before="20" w:after="40"/>
        <w:ind w:left="360"/>
        <w:rPr>
          <w:rFonts w:ascii="Arial" w:eastAsia="Arial" w:hAnsi="Arial" w:cs="Arial"/>
          <w:color w:val="888888"/>
          <w:sz w:val="16"/>
          <w:lang w:val="en-CA"/>
        </w:rPr>
      </w:pPr>
      <w:r w:rsidRPr="005C4523">
        <w:rPr>
          <w:rFonts w:ascii="Arial" w:eastAsia="Arial" w:hAnsi="Arial" w:cs="Arial"/>
          <w:color w:val="888888"/>
          <w:sz w:val="16"/>
          <w:lang w:val="en-CA"/>
        </w:rPr>
        <w:t>Source: Itron Inc. 10-K FY2025; Analyst consensus (April 15, 2026); GRID_index.xlsx Panel E/F.</w:t>
      </w:r>
    </w:p>
    <w:p w14:paraId="00C3D2FD" w14:textId="77777777" w:rsidR="000F1BB2" w:rsidRDefault="000F1BB2" w:rsidP="005C4523">
      <w:pPr>
        <w:pStyle w:val="Heading4"/>
        <w:rPr>
          <w:rFonts w:eastAsia="Arial"/>
        </w:rPr>
      </w:pPr>
    </w:p>
    <w:p w14:paraId="38098FE9" w14:textId="19D22CD0" w:rsidR="005C4523" w:rsidRPr="005C4523" w:rsidRDefault="009909BF" w:rsidP="005C4523">
      <w:pPr>
        <w:pStyle w:val="Heading4"/>
      </w:pPr>
      <w:proofErr w:type="gramStart"/>
      <w:r w:rsidRPr="009909BF">
        <w:rPr>
          <w:rFonts w:eastAsia="Arial"/>
        </w:rPr>
        <w:t>4.5.2  MLI</w:t>
      </w:r>
      <w:proofErr w:type="gramEnd"/>
      <w:r w:rsidRPr="009909BF">
        <w:rPr>
          <w:rFonts w:eastAsia="Arial"/>
        </w:rPr>
        <w:t xml:space="preserve"> — Mueller Industries Inc. [Weight: 21.08%]</w:t>
      </w:r>
    </w:p>
    <w:p w14:paraId="10D4A62C" w14:textId="3328759E" w:rsidR="009909BF" w:rsidRPr="009909BF" w:rsidRDefault="009909BF" w:rsidP="009909BF">
      <w:pPr>
        <w:rPr>
          <w:lang w:val="en-CA"/>
        </w:rPr>
      </w:pPr>
      <w:r w:rsidRPr="009909BF">
        <w:rPr>
          <w:b/>
          <w:color w:val="1F3864"/>
          <w:lang w:val="en-CA"/>
        </w:rPr>
        <w:t xml:space="preserve">Role: </w:t>
      </w:r>
      <w:r w:rsidRPr="009909BF">
        <w:rPr>
          <w:lang w:val="en-CA"/>
        </w:rPr>
        <w:t>Mueller Industries is a North American manufacturer of copper, brass, aluminium and plastic products</w:t>
      </w:r>
      <w:r w:rsidR="00593F91">
        <w:rPr>
          <w:lang w:val="en-CA"/>
        </w:rPr>
        <w:t>,</w:t>
      </w:r>
      <w:r w:rsidRPr="009909BF">
        <w:rPr>
          <w:lang w:val="en-CA"/>
        </w:rPr>
        <w:t xml:space="preserve"> a </w:t>
      </w:r>
      <w:proofErr w:type="gramStart"/>
      <w:r w:rsidRPr="009909BF">
        <w:rPr>
          <w:lang w:val="en-CA"/>
        </w:rPr>
        <w:t>pure-play</w:t>
      </w:r>
      <w:proofErr w:type="gramEnd"/>
      <w:r w:rsidRPr="009909BF">
        <w:rPr>
          <w:lang w:val="en-CA"/>
        </w:rPr>
        <w:t xml:space="preserve"> on industrial electrification and grid buildout. The AI-energy thesis requires massive copper demand for transmission and data-centre interconnects.</w:t>
      </w:r>
    </w:p>
    <w:p w14:paraId="48F7A034" w14:textId="5EBD81D0" w:rsidR="009909BF" w:rsidRPr="009909BF" w:rsidRDefault="009909BF" w:rsidP="009909BF">
      <w:pPr>
        <w:rPr>
          <w:lang w:val="en-CA"/>
        </w:rPr>
      </w:pPr>
      <w:r w:rsidRPr="009909BF">
        <w:rPr>
          <w:b/>
          <w:color w:val="1F3864"/>
          <w:lang w:val="en-CA"/>
        </w:rPr>
        <w:t xml:space="preserve">Alpha Rationale: </w:t>
      </w:r>
      <w:r w:rsidRPr="009909BF">
        <w:rPr>
          <w:lang w:val="en-CA"/>
        </w:rPr>
        <w:t xml:space="preserve">Adjusted </w:t>
      </w:r>
      <w:r>
        <w:t>α</w:t>
      </w:r>
      <w:r w:rsidRPr="009909BF">
        <w:rPr>
          <w:lang w:val="en-CA"/>
        </w:rPr>
        <w:t xml:space="preserve"> = +41.76%</w:t>
      </w:r>
      <w:r w:rsidR="00593F91">
        <w:rPr>
          <w:lang w:val="en-CA"/>
        </w:rPr>
        <w:t xml:space="preserve">, </w:t>
      </w:r>
      <w:r w:rsidRPr="009909BF">
        <w:rPr>
          <w:lang w:val="en-CA"/>
        </w:rPr>
        <w:t>the highest alpha in the entire universe and the primary driver of portfolio alpha. MLI trades at the cheapest P/E in the portfolio (18.08x</w:t>
      </w:r>
      <w:r w:rsidR="00593F91">
        <w:rPr>
          <w:lang w:val="en-CA"/>
        </w:rPr>
        <w:t xml:space="preserve">, </w:t>
      </w:r>
      <w:r w:rsidRPr="009909BF">
        <w:rPr>
          <w:lang w:val="en-CA"/>
        </w:rPr>
        <w:t>a 39% discount to market average of 29.7x). The P/E adjustment amplifies the raw alpha from 28.90% to 41.76%.</w:t>
      </w:r>
    </w:p>
    <w:p w14:paraId="5EC9C9E6" w14:textId="2BE408F0" w:rsidR="009909BF" w:rsidRPr="009909BF" w:rsidRDefault="009909BF" w:rsidP="009909BF">
      <w:pPr>
        <w:rPr>
          <w:lang w:val="en-CA"/>
        </w:rPr>
      </w:pPr>
      <w:r w:rsidRPr="009909BF">
        <w:rPr>
          <w:b/>
          <w:color w:val="1F3864"/>
          <w:lang w:val="en-CA"/>
        </w:rPr>
        <w:t xml:space="preserve">Beta: </w:t>
      </w:r>
      <w:r w:rsidRPr="009909BF">
        <w:rPr>
          <w:lang w:val="en-CA"/>
        </w:rPr>
        <w:t>1.064</w:t>
      </w:r>
      <w:r w:rsidR="00593F91">
        <w:rPr>
          <w:lang w:val="en-CA"/>
        </w:rPr>
        <w:t xml:space="preserve">, </w:t>
      </w:r>
      <w:r w:rsidRPr="009909BF">
        <w:rPr>
          <w:lang w:val="en-CA"/>
        </w:rPr>
        <w:t>near market. MLI participates fully in cyclical industrial tailwinds with moderate market sensitivity.</w:t>
      </w:r>
    </w:p>
    <w:p w14:paraId="7E5362AE" w14:textId="7B45D1E5" w:rsidR="009909BF" w:rsidRPr="009909BF" w:rsidRDefault="009909BF" w:rsidP="009909BF">
      <w:pPr>
        <w:rPr>
          <w:lang w:val="en-CA"/>
        </w:rPr>
      </w:pPr>
      <w:r w:rsidRPr="009909BF">
        <w:rPr>
          <w:b/>
          <w:color w:val="1F3864"/>
          <w:lang w:val="en-CA"/>
        </w:rPr>
        <w:t xml:space="preserve">P-Value: </w:t>
      </w:r>
      <w:r w:rsidRPr="009909BF">
        <w:rPr>
          <w:lang w:val="en-CA"/>
        </w:rPr>
        <w:t>Regression intercept p-value = 2.05%, well below the 10% threshold and below 5%. MLI's alpha is STATISTICALLY SIGNIFICANT</w:t>
      </w:r>
      <w:r w:rsidR="00593F91">
        <w:rPr>
          <w:lang w:val="en-CA"/>
        </w:rPr>
        <w:t xml:space="preserve">, </w:t>
      </w:r>
      <w:r w:rsidRPr="009909BF">
        <w:rPr>
          <w:lang w:val="en-CA"/>
        </w:rPr>
        <w:t>the highest conviction alpha in the portfolio from a statistical perspective.</w:t>
      </w:r>
    </w:p>
    <w:p w14:paraId="5FFD9D27" w14:textId="536EC0BC" w:rsidR="009909BF" w:rsidRPr="009909BF" w:rsidRDefault="009909BF" w:rsidP="009909BF">
      <w:pPr>
        <w:rPr>
          <w:lang w:val="en-CA"/>
        </w:rPr>
      </w:pPr>
      <w:r w:rsidRPr="009909BF">
        <w:rPr>
          <w:b/>
          <w:color w:val="1F3864"/>
          <w:lang w:val="en-CA"/>
        </w:rPr>
        <w:t xml:space="preserve">Valuation Cross-Check: </w:t>
      </w:r>
      <w:r w:rsidRPr="009909BF">
        <w:rPr>
          <w:lang w:val="en-CA"/>
        </w:rPr>
        <w:t>1-year analyst consensus target of $142.80 vs current price $118.25 implies +20.76% upside</w:t>
      </w:r>
      <w:r w:rsidR="00593F91">
        <w:rPr>
          <w:lang w:val="en-CA"/>
        </w:rPr>
        <w:t xml:space="preserve">, </w:t>
      </w:r>
      <w:r w:rsidRPr="009909BF">
        <w:rPr>
          <w:lang w:val="en-CA"/>
        </w:rPr>
        <w:t>one of only two holdings with strong positive consensus support.</w:t>
      </w:r>
    </w:p>
    <w:p w14:paraId="1F82C93F" w14:textId="77777777" w:rsidR="009909BF" w:rsidRPr="009909BF" w:rsidRDefault="009909BF" w:rsidP="009909BF">
      <w:pPr>
        <w:pBdr>
          <w:left w:val="single" w:sz="3" w:space="0" w:color="C9A84C"/>
        </w:pBdr>
        <w:spacing w:before="20" w:after="40"/>
        <w:ind w:left="360"/>
        <w:rPr>
          <w:lang w:val="en-CA"/>
        </w:rPr>
      </w:pPr>
      <w:r w:rsidRPr="009909BF">
        <w:rPr>
          <w:rFonts w:ascii="Arial" w:hAnsi="Arial"/>
          <w:i/>
          <w:color w:val="888888"/>
          <w:sz w:val="16"/>
          <w:lang w:val="en-CA"/>
        </w:rPr>
        <w:t>Source: Mueller Industries 10-K FY2025; analyst consensus April 15, 2026; ACWI_index_FV.xlsx Panel E/F.</w:t>
      </w:r>
    </w:p>
    <w:p w14:paraId="295C5380" w14:textId="77777777" w:rsidR="007A27CE" w:rsidRDefault="007A27CE" w:rsidP="000F1BB2">
      <w:pPr>
        <w:pStyle w:val="Heading4"/>
        <w:rPr>
          <w:rFonts w:eastAsia="Arial"/>
        </w:rPr>
      </w:pPr>
    </w:p>
    <w:p w14:paraId="44CC36BD" w14:textId="11EC17DE" w:rsidR="000F1BB2" w:rsidRPr="000F1BB2" w:rsidRDefault="009909BF" w:rsidP="000F1BB2">
      <w:pPr>
        <w:pStyle w:val="Heading4"/>
      </w:pPr>
      <w:proofErr w:type="gramStart"/>
      <w:r w:rsidRPr="009909BF">
        <w:rPr>
          <w:rFonts w:eastAsia="Arial"/>
        </w:rPr>
        <w:t>4.5.3  NVT</w:t>
      </w:r>
      <w:proofErr w:type="gramEnd"/>
      <w:r w:rsidRPr="009909BF">
        <w:rPr>
          <w:rFonts w:eastAsia="Arial"/>
        </w:rPr>
        <w:t xml:space="preserve"> — </w:t>
      </w:r>
      <w:proofErr w:type="spellStart"/>
      <w:r w:rsidRPr="009909BF">
        <w:rPr>
          <w:rFonts w:eastAsia="Arial"/>
        </w:rPr>
        <w:t>nVent</w:t>
      </w:r>
      <w:proofErr w:type="spellEnd"/>
      <w:r w:rsidRPr="009909BF">
        <w:rPr>
          <w:rFonts w:eastAsia="Arial"/>
        </w:rPr>
        <w:t xml:space="preserve"> Electric PLC [Weight: 17.75%]</w:t>
      </w:r>
    </w:p>
    <w:p w14:paraId="214F0ECB" w14:textId="34E400FA" w:rsidR="009909BF" w:rsidRPr="009909BF" w:rsidRDefault="009909BF" w:rsidP="009909BF">
      <w:pPr>
        <w:rPr>
          <w:lang w:val="en-CA"/>
        </w:rPr>
      </w:pPr>
      <w:r w:rsidRPr="009909BF">
        <w:rPr>
          <w:b/>
          <w:color w:val="1F3864"/>
          <w:lang w:val="en-CA"/>
        </w:rPr>
        <w:t xml:space="preserve">Role: </w:t>
      </w:r>
      <w:proofErr w:type="spellStart"/>
      <w:r w:rsidRPr="009909BF">
        <w:rPr>
          <w:lang w:val="en-CA"/>
        </w:rPr>
        <w:t>nVent</w:t>
      </w:r>
      <w:proofErr w:type="spellEnd"/>
      <w:r w:rsidRPr="009909BF">
        <w:rPr>
          <w:lang w:val="en-CA"/>
        </w:rPr>
        <w:t xml:space="preserve"> is an industrial electrical connection and protection company</w:t>
      </w:r>
      <w:r w:rsidR="00593F91">
        <w:rPr>
          <w:lang w:val="en-CA"/>
        </w:rPr>
        <w:t xml:space="preserve">, </w:t>
      </w:r>
      <w:r w:rsidRPr="009909BF">
        <w:rPr>
          <w:lang w:val="en-CA"/>
        </w:rPr>
        <w:t>thermal management and enclosure systems for data centres, utility networks, and industrial power. Direct beneficiary of AI infrastructure buildout.</w:t>
      </w:r>
    </w:p>
    <w:p w14:paraId="70F73CF0" w14:textId="77777777" w:rsidR="009909BF" w:rsidRPr="009909BF" w:rsidRDefault="009909BF" w:rsidP="009909BF">
      <w:pPr>
        <w:rPr>
          <w:lang w:val="en-CA"/>
        </w:rPr>
      </w:pPr>
      <w:r w:rsidRPr="009909BF">
        <w:rPr>
          <w:b/>
          <w:color w:val="1F3864"/>
          <w:lang w:val="en-CA"/>
        </w:rPr>
        <w:t xml:space="preserve">Alpha Rationale: </w:t>
      </w:r>
      <w:r w:rsidRPr="009909BF">
        <w:rPr>
          <w:lang w:val="en-CA"/>
        </w:rPr>
        <w:t xml:space="preserve">Adjusted </w:t>
      </w:r>
      <w:r>
        <w:t>α</w:t>
      </w:r>
      <w:r w:rsidRPr="009909BF">
        <w:rPr>
          <w:lang w:val="en-CA"/>
        </w:rPr>
        <w:t xml:space="preserve"> = +12.80%. NVT has strong systematic exposure to industrial electrification (beta 1.30) and solid firm-specific alpha from market-leading thermal management products for hyperscale data centres.</w:t>
      </w:r>
    </w:p>
    <w:p w14:paraId="57E9B00F" w14:textId="1BB2F429" w:rsidR="009909BF" w:rsidRPr="009909BF" w:rsidRDefault="009909BF" w:rsidP="009909BF">
      <w:pPr>
        <w:rPr>
          <w:lang w:val="en-CA"/>
        </w:rPr>
      </w:pPr>
      <w:r w:rsidRPr="009909BF">
        <w:rPr>
          <w:b/>
          <w:color w:val="1F3864"/>
          <w:lang w:val="en-CA"/>
        </w:rPr>
        <w:t xml:space="preserve">Beta: </w:t>
      </w:r>
      <w:r w:rsidRPr="009909BF">
        <w:rPr>
          <w:lang w:val="en-CA"/>
        </w:rPr>
        <w:t>1.300</w:t>
      </w:r>
      <w:r w:rsidR="00593F91">
        <w:rPr>
          <w:lang w:val="en-CA"/>
        </w:rPr>
        <w:t>,</w:t>
      </w:r>
      <w:r w:rsidRPr="009909BF">
        <w:rPr>
          <w:lang w:val="en-CA"/>
        </w:rPr>
        <w:t xml:space="preserve"> above market. NVT's data-centre-adjacent business amplifies exposure to the AI capex cycle.</w:t>
      </w:r>
    </w:p>
    <w:p w14:paraId="3B140671" w14:textId="3DFAFDF9" w:rsidR="009909BF" w:rsidRPr="009909BF" w:rsidRDefault="009909BF" w:rsidP="009909BF">
      <w:pPr>
        <w:rPr>
          <w:lang w:val="en-CA"/>
        </w:rPr>
      </w:pPr>
      <w:r w:rsidRPr="009909BF">
        <w:rPr>
          <w:b/>
          <w:color w:val="1F3864"/>
          <w:lang w:val="en-CA"/>
        </w:rPr>
        <w:t xml:space="preserve">P-Value: </w:t>
      </w:r>
      <w:r w:rsidRPr="009909BF">
        <w:rPr>
          <w:lang w:val="en-CA"/>
        </w:rPr>
        <w:t>Regression intercept p-value = 3.27%, below 5%. NVT's alpha is statistically significant</w:t>
      </w:r>
      <w:r w:rsidR="00593F91">
        <w:rPr>
          <w:lang w:val="en-CA"/>
        </w:rPr>
        <w:t>,</w:t>
      </w:r>
      <w:r w:rsidRPr="009909BF">
        <w:rPr>
          <w:lang w:val="en-CA"/>
        </w:rPr>
        <w:t xml:space="preserve"> another high-conviction position.</w:t>
      </w:r>
    </w:p>
    <w:p w14:paraId="0A47F279" w14:textId="77777777" w:rsidR="009909BF" w:rsidRPr="009909BF" w:rsidRDefault="009909BF" w:rsidP="009909BF">
      <w:pPr>
        <w:rPr>
          <w:lang w:val="en-CA"/>
        </w:rPr>
      </w:pPr>
      <w:r w:rsidRPr="009909BF">
        <w:rPr>
          <w:b/>
          <w:color w:val="1F3864"/>
          <w:lang w:val="en-CA"/>
        </w:rPr>
        <w:t xml:space="preserve">Valuation Support: </w:t>
      </w:r>
      <w:r w:rsidRPr="009909BF">
        <w:rPr>
          <w:lang w:val="en-CA"/>
        </w:rPr>
        <w:t>1-year consensus target of $148.31 vs current $131.38 implies +12.89% upside, supporting the alpha thesis with forward-looking analyst endorsement.</w:t>
      </w:r>
    </w:p>
    <w:p w14:paraId="052DC222" w14:textId="77777777" w:rsidR="009909BF" w:rsidRPr="009909BF" w:rsidRDefault="009909BF" w:rsidP="009909BF">
      <w:pPr>
        <w:pBdr>
          <w:left w:val="single" w:sz="3" w:space="0" w:color="C9A84C"/>
        </w:pBdr>
        <w:spacing w:before="20" w:after="40"/>
        <w:ind w:left="360"/>
        <w:rPr>
          <w:lang w:val="en-CA"/>
        </w:rPr>
      </w:pPr>
      <w:r w:rsidRPr="009909BF">
        <w:rPr>
          <w:rFonts w:ascii="Arial" w:hAnsi="Arial"/>
          <w:i/>
          <w:color w:val="888888"/>
          <w:sz w:val="16"/>
          <w:lang w:val="en-CA"/>
        </w:rPr>
        <w:t xml:space="preserve">Source: </w:t>
      </w:r>
      <w:proofErr w:type="spellStart"/>
      <w:r w:rsidRPr="009909BF">
        <w:rPr>
          <w:rFonts w:ascii="Arial" w:hAnsi="Arial"/>
          <w:i/>
          <w:color w:val="888888"/>
          <w:sz w:val="16"/>
          <w:lang w:val="en-CA"/>
        </w:rPr>
        <w:t>nVent</w:t>
      </w:r>
      <w:proofErr w:type="spellEnd"/>
      <w:r w:rsidRPr="009909BF">
        <w:rPr>
          <w:rFonts w:ascii="Arial" w:hAnsi="Arial"/>
          <w:i/>
          <w:color w:val="888888"/>
          <w:sz w:val="16"/>
          <w:lang w:val="en-CA"/>
        </w:rPr>
        <w:t xml:space="preserve"> Electric 10-K FY2025; ACWI_index_FV.xlsx Panel A/E; analyst consensus.</w:t>
      </w:r>
    </w:p>
    <w:p w14:paraId="59DE6F67" w14:textId="77777777" w:rsidR="000F1BB2" w:rsidRDefault="000F1BB2" w:rsidP="000F1BB2">
      <w:pPr>
        <w:pStyle w:val="Heading4"/>
        <w:rPr>
          <w:rFonts w:eastAsia="Arial"/>
        </w:rPr>
      </w:pPr>
    </w:p>
    <w:p w14:paraId="24306F64" w14:textId="77777777" w:rsidR="009909BF" w:rsidRDefault="009909BF" w:rsidP="009909BF">
      <w:pPr>
        <w:pStyle w:val="Heading4"/>
      </w:pPr>
      <w:proofErr w:type="gramStart"/>
      <w:r>
        <w:t>4.5.4  ETN</w:t>
      </w:r>
      <w:proofErr w:type="gramEnd"/>
      <w:r>
        <w:t xml:space="preserve"> — Eaton Corporation PLC [Weight: 14.57%]</w:t>
      </w:r>
    </w:p>
    <w:p w14:paraId="1D8E970A" w14:textId="77777777" w:rsidR="009909BF" w:rsidRDefault="009909BF" w:rsidP="009909BF">
      <w:proofErr w:type="spellStart"/>
      <w:r w:rsidRPr="009909BF">
        <w:rPr>
          <w:b/>
          <w:color w:val="1F3864"/>
        </w:rPr>
        <w:t>Role</w:t>
      </w:r>
      <w:proofErr w:type="spellEnd"/>
      <w:r w:rsidRPr="009909BF">
        <w:rPr>
          <w:b/>
          <w:color w:val="1F3864"/>
        </w:rPr>
        <w:t xml:space="preserve">: </w:t>
      </w:r>
      <w:r w:rsidRPr="009909BF">
        <w:t xml:space="preserve">Eaton </w:t>
      </w:r>
      <w:proofErr w:type="spellStart"/>
      <w:r w:rsidRPr="009909BF">
        <w:t>is</w:t>
      </w:r>
      <w:proofErr w:type="spellEnd"/>
      <w:r w:rsidRPr="009909BF">
        <w:t xml:space="preserve"> an </w:t>
      </w:r>
      <w:proofErr w:type="spellStart"/>
      <w:r w:rsidRPr="009909BF">
        <w:t>industrial</w:t>
      </w:r>
      <w:proofErr w:type="spellEnd"/>
      <w:r w:rsidRPr="009909BF">
        <w:t xml:space="preserve"> power management </w:t>
      </w:r>
      <w:proofErr w:type="spellStart"/>
      <w:r w:rsidRPr="009909BF">
        <w:t>company</w:t>
      </w:r>
      <w:proofErr w:type="spellEnd"/>
      <w:r w:rsidRPr="009909BF">
        <w:t xml:space="preserve"> </w:t>
      </w:r>
      <w:proofErr w:type="spellStart"/>
      <w:r w:rsidRPr="009909BF">
        <w:t>with</w:t>
      </w:r>
      <w:proofErr w:type="spellEnd"/>
      <w:r w:rsidRPr="009909BF">
        <w:t xml:space="preserve"> </w:t>
      </w:r>
      <w:proofErr w:type="spellStart"/>
      <w:r w:rsidRPr="009909BF">
        <w:t>broad</w:t>
      </w:r>
      <w:proofErr w:type="spellEnd"/>
      <w:r w:rsidRPr="009909BF">
        <w:t xml:space="preserve"> </w:t>
      </w:r>
      <w:proofErr w:type="spellStart"/>
      <w:r w:rsidRPr="009909BF">
        <w:t>exposure</w:t>
      </w:r>
      <w:proofErr w:type="spellEnd"/>
      <w:r w:rsidRPr="009909BF">
        <w:t xml:space="preserve"> to </w:t>
      </w:r>
      <w:proofErr w:type="spellStart"/>
      <w:r w:rsidRPr="009909BF">
        <w:t>electrical</w:t>
      </w:r>
      <w:proofErr w:type="spellEnd"/>
      <w:r w:rsidRPr="009909BF">
        <w:t xml:space="preserve"> </w:t>
      </w:r>
      <w:proofErr w:type="spellStart"/>
      <w:r w:rsidRPr="009909BF">
        <w:t>systems</w:t>
      </w:r>
      <w:proofErr w:type="spellEnd"/>
      <w:r w:rsidRPr="009909BF">
        <w:t xml:space="preserve">, data-centre power distribution, and </w:t>
      </w:r>
      <w:proofErr w:type="spellStart"/>
      <w:r w:rsidRPr="009909BF">
        <w:t>aerospace</w:t>
      </w:r>
      <w:proofErr w:type="spellEnd"/>
      <w:r w:rsidRPr="009909BF">
        <w:t xml:space="preserve">. </w:t>
      </w:r>
      <w:proofErr w:type="spellStart"/>
      <w:r>
        <w:t>Fourth-largest</w:t>
      </w:r>
      <w:proofErr w:type="spellEnd"/>
      <w:r>
        <w:t xml:space="preserve"> active </w:t>
      </w:r>
      <w:proofErr w:type="spellStart"/>
      <w:r>
        <w:t>weight</w:t>
      </w:r>
      <w:proofErr w:type="spellEnd"/>
      <w:r>
        <w:t xml:space="preserve"> </w:t>
      </w:r>
      <w:proofErr w:type="spellStart"/>
      <w:r>
        <w:t>given</w:t>
      </w:r>
      <w:proofErr w:type="spellEnd"/>
      <w:r>
        <w:t xml:space="preserve"> its consistent AI-energy positioning.</w:t>
      </w:r>
    </w:p>
    <w:p w14:paraId="02451DB3" w14:textId="77777777" w:rsidR="009909BF" w:rsidRDefault="009909BF" w:rsidP="009909BF">
      <w:r>
        <w:rPr>
          <w:b/>
          <w:color w:val="1F3864"/>
        </w:rPr>
        <w:t xml:space="preserve">Alpha Rationale: </w:t>
      </w:r>
      <w:r>
        <w:t>Adjusted α = +8.58%. ETN benefits from accelerating revenue from grid infrastructure and data-centre power management. The P/E of 37.51x is elevated, reducing raw alpha of 14.57% to the adjusted 8.58% figure.</w:t>
      </w:r>
    </w:p>
    <w:p w14:paraId="3090FEF2" w14:textId="4B226214" w:rsidR="009909BF" w:rsidRPr="00593F91" w:rsidRDefault="009909BF" w:rsidP="009909BF">
      <w:pPr>
        <w:rPr>
          <w:lang w:val="en-CA"/>
        </w:rPr>
      </w:pPr>
      <w:r w:rsidRPr="00593F91">
        <w:rPr>
          <w:b/>
          <w:color w:val="1F3864"/>
          <w:lang w:val="en-CA"/>
        </w:rPr>
        <w:t xml:space="preserve">Beta: </w:t>
      </w:r>
      <w:r w:rsidRPr="00593F91">
        <w:rPr>
          <w:lang w:val="en-CA"/>
        </w:rPr>
        <w:t>1.185</w:t>
      </w:r>
      <w:proofErr w:type="gramStart"/>
      <w:r w:rsidR="00593F91">
        <w:rPr>
          <w:lang w:val="en-CA"/>
        </w:rPr>
        <w:t xml:space="preserve">, </w:t>
      </w:r>
      <w:r w:rsidRPr="00593F91">
        <w:rPr>
          <w:lang w:val="en-CA"/>
        </w:rPr>
        <w:t xml:space="preserve"> above</w:t>
      </w:r>
      <w:proofErr w:type="gramEnd"/>
      <w:r w:rsidRPr="00593F91">
        <w:rPr>
          <w:lang w:val="en-CA"/>
        </w:rPr>
        <w:t xml:space="preserve"> market, consistent with cyclical industrial profile.</w:t>
      </w:r>
    </w:p>
    <w:p w14:paraId="4591561E" w14:textId="2ECF9B6D" w:rsidR="009909BF" w:rsidRDefault="009909BF" w:rsidP="009909BF">
      <w:r w:rsidRPr="00593F91">
        <w:rPr>
          <w:b/>
          <w:color w:val="1F3864"/>
          <w:lang w:val="en-CA"/>
        </w:rPr>
        <w:t xml:space="preserve">P-Value Caveat: </w:t>
      </w:r>
      <w:r w:rsidRPr="00593F91">
        <w:rPr>
          <w:lang w:val="en-CA"/>
        </w:rPr>
        <w:t>Regression intercept p-value = 12.79%</w:t>
      </w:r>
      <w:r w:rsidR="00593F91" w:rsidRPr="00593F91">
        <w:rPr>
          <w:lang w:val="en-CA"/>
        </w:rPr>
        <w:t xml:space="preserve">, </w:t>
      </w:r>
      <w:r w:rsidRPr="00593F91">
        <w:rPr>
          <w:lang w:val="en-CA"/>
        </w:rPr>
        <w:t xml:space="preserve">above the 10% threshold. </w:t>
      </w:r>
      <w:proofErr w:type="spellStart"/>
      <w:r>
        <w:t>ETN's</w:t>
      </w:r>
      <w:proofErr w:type="spellEnd"/>
      <w:r>
        <w:t xml:space="preserve"> </w:t>
      </w:r>
      <w:proofErr w:type="spellStart"/>
      <w:r>
        <w:t>estimated</w:t>
      </w:r>
      <w:proofErr w:type="spellEnd"/>
      <w:r>
        <w:t xml:space="preserve"> alpha </w:t>
      </w:r>
      <w:proofErr w:type="spellStart"/>
      <w:r>
        <w:t>is</w:t>
      </w:r>
      <w:proofErr w:type="spellEnd"/>
      <w:r>
        <w:t xml:space="preserve"> not statistically distinguishable from zero at 90% confidence. Position sized accordingly and flagged for ongoing monitoring (see Section 4.7).</w:t>
      </w:r>
    </w:p>
    <w:p w14:paraId="73A1A353" w14:textId="75CCD575" w:rsidR="009909BF" w:rsidRPr="00593F91" w:rsidRDefault="009909BF" w:rsidP="009909BF">
      <w:pPr>
        <w:rPr>
          <w:lang w:val="en-CA"/>
        </w:rPr>
      </w:pPr>
      <w:r w:rsidRPr="00593F91">
        <w:rPr>
          <w:b/>
          <w:color w:val="1F3864"/>
          <w:lang w:val="en-CA"/>
        </w:rPr>
        <w:t xml:space="preserve">Valuation: </w:t>
      </w:r>
      <w:r w:rsidRPr="00593F91">
        <w:rPr>
          <w:lang w:val="en-CA"/>
        </w:rPr>
        <w:t>1-year target $404.62 vs current $395 implies only +2.44% upside</w:t>
      </w:r>
      <w:r w:rsidR="00593F91" w:rsidRPr="00593F91">
        <w:rPr>
          <w:lang w:val="en-CA"/>
        </w:rPr>
        <w:t>,</w:t>
      </w:r>
      <w:r w:rsidRPr="00593F91">
        <w:rPr>
          <w:lang w:val="en-CA"/>
        </w:rPr>
        <w:t xml:space="preserve"> limited upside according to analyst consensus, reinforcing the p-value caution.</w:t>
      </w:r>
    </w:p>
    <w:p w14:paraId="4340B9D1" w14:textId="55FC23A6" w:rsidR="000F1BB2" w:rsidRPr="007A27CE" w:rsidRDefault="009909BF" w:rsidP="007A27CE">
      <w:pPr>
        <w:pBdr>
          <w:left w:val="single" w:sz="3" w:space="0" w:color="C9A84C"/>
        </w:pBdr>
        <w:spacing w:before="20" w:after="40"/>
        <w:ind w:left="360"/>
        <w:rPr>
          <w:lang w:val="en-CA"/>
        </w:rPr>
      </w:pPr>
      <w:r w:rsidRPr="009909BF">
        <w:rPr>
          <w:rFonts w:ascii="Arial" w:hAnsi="Arial"/>
          <w:i/>
          <w:color w:val="888888"/>
          <w:sz w:val="16"/>
          <w:lang w:val="en-CA"/>
        </w:rPr>
        <w:t>Source: Eaton Corporation 10-K FY2025; ACWI_index_FV.xlsx Panel E; analyst consensus.</w:t>
      </w:r>
    </w:p>
    <w:p w14:paraId="41BE5639" w14:textId="347E9A4B" w:rsidR="000F1BB2" w:rsidRPr="000F1BB2" w:rsidRDefault="000F1BB2" w:rsidP="000F1BB2">
      <w:pPr>
        <w:pStyle w:val="Heading4"/>
      </w:pPr>
      <w:proofErr w:type="gramStart"/>
      <w:r w:rsidRPr="000F1BB2">
        <w:rPr>
          <w:rFonts w:eastAsia="Arial"/>
        </w:rPr>
        <w:lastRenderedPageBreak/>
        <w:t>4.5.5  NGG</w:t>
      </w:r>
      <w:proofErr w:type="gramEnd"/>
      <w:r w:rsidR="00593F91">
        <w:rPr>
          <w:rFonts w:eastAsia="Arial"/>
        </w:rPr>
        <w:t xml:space="preserve"> </w:t>
      </w:r>
      <w:r w:rsidR="00593F91">
        <w:t>—</w:t>
      </w:r>
      <w:r w:rsidRPr="000F1BB2">
        <w:rPr>
          <w:rFonts w:eastAsia="Arial"/>
        </w:rPr>
        <w:t xml:space="preserve"> National Grid PLC ADR [Weight: 4.73%]</w:t>
      </w:r>
    </w:p>
    <w:p w14:paraId="3DFEA971" w14:textId="77777777" w:rsidR="000F1BB2" w:rsidRPr="000F1BB2" w:rsidRDefault="000F1BB2" w:rsidP="000F1BB2">
      <w:proofErr w:type="spellStart"/>
      <w:r w:rsidRPr="000F1BB2">
        <w:rPr>
          <w:b/>
          <w:color w:val="1F3864"/>
        </w:rPr>
        <w:t>Role</w:t>
      </w:r>
      <w:proofErr w:type="spellEnd"/>
      <w:r w:rsidRPr="000F1BB2">
        <w:rPr>
          <w:b/>
          <w:color w:val="1F3864"/>
        </w:rPr>
        <w:t xml:space="preserve">: </w:t>
      </w:r>
      <w:r w:rsidRPr="000F1BB2">
        <w:t xml:space="preserve">One of the </w:t>
      </w:r>
      <w:proofErr w:type="spellStart"/>
      <w:r w:rsidRPr="000F1BB2">
        <w:t>world's</w:t>
      </w:r>
      <w:proofErr w:type="spellEnd"/>
      <w:r w:rsidRPr="000F1BB2">
        <w:t xml:space="preserve"> </w:t>
      </w:r>
      <w:proofErr w:type="spellStart"/>
      <w:r w:rsidRPr="000F1BB2">
        <w:t>largest</w:t>
      </w:r>
      <w:proofErr w:type="spellEnd"/>
      <w:r w:rsidRPr="000F1BB2">
        <w:t xml:space="preserve"> </w:t>
      </w:r>
      <w:proofErr w:type="spellStart"/>
      <w:r w:rsidRPr="000F1BB2">
        <w:t>electricity</w:t>
      </w:r>
      <w:proofErr w:type="spellEnd"/>
      <w:r w:rsidRPr="000F1BB2">
        <w:t xml:space="preserve"> and </w:t>
      </w:r>
      <w:proofErr w:type="spellStart"/>
      <w:r w:rsidRPr="000F1BB2">
        <w:t>gas</w:t>
      </w:r>
      <w:proofErr w:type="spellEnd"/>
      <w:r w:rsidRPr="000F1BB2">
        <w:t xml:space="preserve"> infrastructure </w:t>
      </w:r>
      <w:proofErr w:type="spellStart"/>
      <w:r w:rsidRPr="000F1BB2">
        <w:t>companies</w:t>
      </w:r>
      <w:proofErr w:type="spellEnd"/>
      <w:r w:rsidRPr="000F1BB2">
        <w:t xml:space="preserve">, operating the UK and </w:t>
      </w:r>
      <w:proofErr w:type="spellStart"/>
      <w:r w:rsidRPr="000F1BB2">
        <w:t>Northeastern</w:t>
      </w:r>
      <w:proofErr w:type="spellEnd"/>
      <w:r w:rsidRPr="000F1BB2">
        <w:t xml:space="preserve"> U.S. transmission networks. National </w:t>
      </w:r>
      <w:proofErr w:type="spellStart"/>
      <w:r w:rsidRPr="000F1BB2">
        <w:t>Grid</w:t>
      </w:r>
      <w:proofErr w:type="spellEnd"/>
      <w:r w:rsidRPr="000F1BB2">
        <w:t xml:space="preserve"> </w:t>
      </w:r>
      <w:proofErr w:type="spellStart"/>
      <w:r w:rsidRPr="000F1BB2">
        <w:t>provides</w:t>
      </w:r>
      <w:proofErr w:type="spellEnd"/>
      <w:r w:rsidRPr="000F1BB2">
        <w:t xml:space="preserve"> </w:t>
      </w:r>
      <w:proofErr w:type="spellStart"/>
      <w:r w:rsidRPr="000F1BB2">
        <w:t>geographic</w:t>
      </w:r>
      <w:proofErr w:type="spellEnd"/>
      <w:r w:rsidRPr="000F1BB2">
        <w:t xml:space="preserve"> diversification and </w:t>
      </w:r>
      <w:proofErr w:type="spellStart"/>
      <w:r w:rsidRPr="000F1BB2">
        <w:t>exposure</w:t>
      </w:r>
      <w:proofErr w:type="spellEnd"/>
      <w:r w:rsidRPr="000F1BB2">
        <w:t xml:space="preserve"> to the </w:t>
      </w:r>
      <w:proofErr w:type="spellStart"/>
      <w:r w:rsidRPr="000F1BB2">
        <w:t>UK's</w:t>
      </w:r>
      <w:proofErr w:type="spellEnd"/>
      <w:r w:rsidRPr="000F1BB2">
        <w:t xml:space="preserve"> </w:t>
      </w:r>
      <w:proofErr w:type="spellStart"/>
      <w:r w:rsidRPr="000F1BB2">
        <w:t>accelerated</w:t>
      </w:r>
      <w:proofErr w:type="spellEnd"/>
      <w:r w:rsidRPr="000F1BB2">
        <w:t xml:space="preserve"> </w:t>
      </w:r>
      <w:proofErr w:type="spellStart"/>
      <w:r w:rsidRPr="000F1BB2">
        <w:t>grid</w:t>
      </w:r>
      <w:proofErr w:type="spellEnd"/>
      <w:r w:rsidRPr="000F1BB2">
        <w:t xml:space="preserve"> </w:t>
      </w:r>
      <w:proofErr w:type="spellStart"/>
      <w:r w:rsidRPr="000F1BB2">
        <w:t>investment</w:t>
      </w:r>
      <w:proofErr w:type="spellEnd"/>
      <w:r w:rsidRPr="000F1BB2">
        <w:t xml:space="preserve"> programme.</w:t>
      </w:r>
    </w:p>
    <w:p w14:paraId="6DB71AA1" w14:textId="34D7F7A7" w:rsidR="000F1BB2" w:rsidRPr="000F1BB2" w:rsidRDefault="000F1BB2" w:rsidP="000F1BB2">
      <w:r w:rsidRPr="000F1BB2">
        <w:rPr>
          <w:b/>
          <w:color w:val="1F3864"/>
        </w:rPr>
        <w:t xml:space="preserve">Alpha </w:t>
      </w:r>
      <w:proofErr w:type="spellStart"/>
      <w:r w:rsidRPr="000F1BB2">
        <w:rPr>
          <w:b/>
          <w:color w:val="1F3864"/>
        </w:rPr>
        <w:t>Rationale</w:t>
      </w:r>
      <w:proofErr w:type="spellEnd"/>
      <w:r w:rsidRPr="000F1BB2">
        <w:rPr>
          <w:b/>
          <w:color w:val="1F3864"/>
        </w:rPr>
        <w:t xml:space="preserve">: </w:t>
      </w:r>
      <w:proofErr w:type="spellStart"/>
      <w:r w:rsidRPr="000F1BB2">
        <w:t>Adjusted</w:t>
      </w:r>
      <w:proofErr w:type="spellEnd"/>
      <w:r w:rsidRPr="000F1BB2">
        <w:t xml:space="preserve"> Alpha = 1.54%. </w:t>
      </w:r>
      <w:r w:rsidRPr="00593F91">
        <w:rPr>
          <w:lang w:val="en-CA"/>
        </w:rPr>
        <w:t xml:space="preserve">Beta of </w:t>
      </w:r>
      <w:proofErr w:type="gramStart"/>
      <w:r w:rsidRPr="00593F91">
        <w:rPr>
          <w:lang w:val="en-CA"/>
        </w:rPr>
        <w:t>0.402  -</w:t>
      </w:r>
      <w:proofErr w:type="gramEnd"/>
      <w:r w:rsidRPr="00593F91">
        <w:rPr>
          <w:lang w:val="en-CA"/>
        </w:rPr>
        <w:t xml:space="preserve">  among the lowest in the portfolio</w:t>
      </w:r>
      <w:r w:rsidR="00593F91">
        <w:rPr>
          <w:lang w:val="en-CA"/>
        </w:rPr>
        <w:t>,</w:t>
      </w:r>
      <w:r w:rsidRPr="00593F91">
        <w:rPr>
          <w:lang w:val="en-CA"/>
        </w:rPr>
        <w:t xml:space="preserve"> means NGG provides defensive stability with modest alpha. </w:t>
      </w:r>
      <w:proofErr w:type="spellStart"/>
      <w:r w:rsidRPr="000F1BB2">
        <w:t>Its</w:t>
      </w:r>
      <w:proofErr w:type="spellEnd"/>
      <w:r w:rsidRPr="000F1BB2">
        <w:t xml:space="preserve"> R2 </w:t>
      </w:r>
      <w:proofErr w:type="spellStart"/>
      <w:r w:rsidRPr="000F1BB2">
        <w:t>with</w:t>
      </w:r>
      <w:proofErr w:type="spellEnd"/>
      <w:r w:rsidRPr="000F1BB2">
        <w:t xml:space="preserve"> the GRID index </w:t>
      </w:r>
      <w:proofErr w:type="spellStart"/>
      <w:r w:rsidRPr="000F1BB2">
        <w:t>is</w:t>
      </w:r>
      <w:proofErr w:type="spellEnd"/>
      <w:r w:rsidRPr="000F1BB2">
        <w:t xml:space="preserve"> 46.3%, </w:t>
      </w:r>
      <w:proofErr w:type="spellStart"/>
      <w:r w:rsidRPr="000F1BB2">
        <w:t>indicating</w:t>
      </w:r>
      <w:proofErr w:type="spellEnd"/>
      <w:r w:rsidRPr="000F1BB2">
        <w:t xml:space="preserve"> </w:t>
      </w:r>
      <w:proofErr w:type="spellStart"/>
      <w:r w:rsidRPr="000F1BB2">
        <w:t>meaningful</w:t>
      </w:r>
      <w:proofErr w:type="spellEnd"/>
      <w:r w:rsidRPr="000F1BB2">
        <w:t xml:space="preserve"> </w:t>
      </w:r>
      <w:proofErr w:type="spellStart"/>
      <w:r w:rsidRPr="000F1BB2">
        <w:t>idiosyncratic</w:t>
      </w:r>
      <w:proofErr w:type="spellEnd"/>
      <w:r w:rsidRPr="000F1BB2">
        <w:t xml:space="preserve"> return drivers </w:t>
      </w:r>
      <w:proofErr w:type="spellStart"/>
      <w:r w:rsidRPr="000F1BB2">
        <w:t>independent</w:t>
      </w:r>
      <w:proofErr w:type="spellEnd"/>
      <w:r w:rsidRPr="000F1BB2">
        <w:t xml:space="preserve"> of U.S. </w:t>
      </w:r>
      <w:proofErr w:type="spellStart"/>
      <w:r w:rsidRPr="000F1BB2">
        <w:t>grid</w:t>
      </w:r>
      <w:proofErr w:type="spellEnd"/>
      <w:r w:rsidRPr="000F1BB2">
        <w:t xml:space="preserve"> </w:t>
      </w:r>
      <w:proofErr w:type="spellStart"/>
      <w:r w:rsidRPr="000F1BB2">
        <w:t>dynamics</w:t>
      </w:r>
      <w:proofErr w:type="spellEnd"/>
      <w:r w:rsidRPr="000F1BB2">
        <w:t>.</w:t>
      </w:r>
    </w:p>
    <w:p w14:paraId="248596BD" w14:textId="77777777" w:rsidR="000F1BB2" w:rsidRPr="000F1BB2" w:rsidRDefault="000F1BB2" w:rsidP="000F1BB2">
      <w:r w:rsidRPr="000F1BB2">
        <w:rPr>
          <w:b/>
          <w:color w:val="1F3864"/>
        </w:rPr>
        <w:t xml:space="preserve">International Diversification: </w:t>
      </w:r>
      <w:r w:rsidRPr="000F1BB2">
        <w:t xml:space="preserve">NGG </w:t>
      </w:r>
      <w:proofErr w:type="spellStart"/>
      <w:r w:rsidRPr="000F1BB2">
        <w:t>provides</w:t>
      </w:r>
      <w:proofErr w:type="spellEnd"/>
      <w:r w:rsidRPr="000F1BB2">
        <w:t xml:space="preserve"> the </w:t>
      </w:r>
      <w:proofErr w:type="spellStart"/>
      <w:r w:rsidRPr="000F1BB2">
        <w:t>portfolio's</w:t>
      </w:r>
      <w:proofErr w:type="spellEnd"/>
      <w:r w:rsidRPr="000F1BB2">
        <w:t xml:space="preserve"> </w:t>
      </w:r>
      <w:proofErr w:type="spellStart"/>
      <w:r w:rsidRPr="000F1BB2">
        <w:t>only</w:t>
      </w:r>
      <w:proofErr w:type="spellEnd"/>
      <w:r w:rsidRPr="000F1BB2">
        <w:t xml:space="preserve"> non-U.S. </w:t>
      </w:r>
      <w:proofErr w:type="spellStart"/>
      <w:r w:rsidRPr="000F1BB2">
        <w:t>exposure</w:t>
      </w:r>
      <w:proofErr w:type="spellEnd"/>
      <w:r w:rsidRPr="000F1BB2">
        <w:t xml:space="preserve">, </w:t>
      </w:r>
      <w:proofErr w:type="spellStart"/>
      <w:r w:rsidRPr="000F1BB2">
        <w:t>reducing</w:t>
      </w:r>
      <w:proofErr w:type="spellEnd"/>
      <w:r w:rsidRPr="000F1BB2">
        <w:t xml:space="preserve"> concentration </w:t>
      </w:r>
      <w:proofErr w:type="spellStart"/>
      <w:r w:rsidRPr="000F1BB2">
        <w:t>risk</w:t>
      </w:r>
      <w:proofErr w:type="spellEnd"/>
      <w:r w:rsidRPr="000F1BB2">
        <w:t xml:space="preserve"> in the U.S. </w:t>
      </w:r>
      <w:proofErr w:type="spellStart"/>
      <w:r w:rsidRPr="000F1BB2">
        <w:t>grid</w:t>
      </w:r>
      <w:proofErr w:type="spellEnd"/>
      <w:r w:rsidRPr="000F1BB2">
        <w:t xml:space="preserve"> </w:t>
      </w:r>
      <w:proofErr w:type="spellStart"/>
      <w:r w:rsidRPr="000F1BB2">
        <w:t>build</w:t>
      </w:r>
      <w:proofErr w:type="spellEnd"/>
      <w:r w:rsidRPr="000F1BB2">
        <w:t xml:space="preserve">-out cycle </w:t>
      </w:r>
      <w:proofErr w:type="spellStart"/>
      <w:r w:rsidRPr="000F1BB2">
        <w:t>while</w:t>
      </w:r>
      <w:proofErr w:type="spellEnd"/>
      <w:r w:rsidRPr="000F1BB2">
        <w:t xml:space="preserve"> </w:t>
      </w:r>
      <w:proofErr w:type="spellStart"/>
      <w:r w:rsidRPr="000F1BB2">
        <w:t>maintaining</w:t>
      </w:r>
      <w:proofErr w:type="spellEnd"/>
      <w:r w:rsidRPr="000F1BB2">
        <w:t xml:space="preserve"> full </w:t>
      </w:r>
      <w:proofErr w:type="spellStart"/>
      <w:r w:rsidRPr="000F1BB2">
        <w:t>thematic</w:t>
      </w:r>
      <w:proofErr w:type="spellEnd"/>
      <w:r w:rsidRPr="000F1BB2">
        <w:t xml:space="preserve"> </w:t>
      </w:r>
      <w:proofErr w:type="spellStart"/>
      <w:r w:rsidRPr="000F1BB2">
        <w:t>alignment</w:t>
      </w:r>
      <w:proofErr w:type="spellEnd"/>
      <w:r w:rsidRPr="000F1BB2">
        <w:t xml:space="preserve"> </w:t>
      </w:r>
      <w:proofErr w:type="spellStart"/>
      <w:r w:rsidRPr="000F1BB2">
        <w:t>with</w:t>
      </w:r>
      <w:proofErr w:type="spellEnd"/>
      <w:r w:rsidRPr="000F1BB2">
        <w:t xml:space="preserve"> the GRID </w:t>
      </w:r>
      <w:proofErr w:type="spellStart"/>
      <w:r w:rsidRPr="000F1BB2">
        <w:t>strategy</w:t>
      </w:r>
      <w:proofErr w:type="spellEnd"/>
      <w:r w:rsidRPr="000F1BB2">
        <w:t>.</w:t>
      </w:r>
    </w:p>
    <w:p w14:paraId="1DB626ED" w14:textId="700013F5" w:rsidR="00175B2B" w:rsidRPr="00175B2B" w:rsidRDefault="000F1BB2" w:rsidP="00175B2B">
      <w:pPr>
        <w:pBdr>
          <w:left w:val="single" w:sz="3" w:space="0" w:color="C9A84C"/>
        </w:pBdr>
        <w:spacing w:before="20" w:after="40"/>
        <w:ind w:left="360"/>
        <w:rPr>
          <w:rFonts w:ascii="Arial" w:eastAsia="Arial" w:hAnsi="Arial" w:cs="Arial"/>
          <w:color w:val="888888"/>
          <w:sz w:val="16"/>
          <w:lang w:val="en-CA"/>
        </w:rPr>
      </w:pPr>
      <w:r w:rsidRPr="000F1BB2">
        <w:rPr>
          <w:rFonts w:ascii="Arial" w:eastAsia="Arial" w:hAnsi="Arial" w:cs="Arial"/>
          <w:color w:val="888888"/>
          <w:sz w:val="16"/>
          <w:lang w:val="en-CA"/>
        </w:rPr>
        <w:t>Source: National Grid PLC FY2025 Annual Report; GRID_index.xlsx Panel A.</w:t>
      </w:r>
    </w:p>
    <w:p w14:paraId="0672DF4E" w14:textId="77777777" w:rsidR="00175B2B" w:rsidRDefault="00175B2B" w:rsidP="000F1BB2">
      <w:pPr>
        <w:pStyle w:val="Heading4"/>
        <w:rPr>
          <w:rFonts w:eastAsia="Arial"/>
        </w:rPr>
      </w:pPr>
    </w:p>
    <w:p w14:paraId="03EDAAE9" w14:textId="4E0A913E" w:rsidR="000F1BB2" w:rsidRPr="000F1BB2" w:rsidRDefault="009909BF" w:rsidP="000F1BB2">
      <w:pPr>
        <w:pStyle w:val="Heading4"/>
      </w:pPr>
      <w:proofErr w:type="gramStart"/>
      <w:r w:rsidRPr="009909BF">
        <w:rPr>
          <w:rFonts w:eastAsia="Arial"/>
        </w:rPr>
        <w:t>4.5.5  PWR</w:t>
      </w:r>
      <w:proofErr w:type="gramEnd"/>
      <w:r w:rsidRPr="009909BF">
        <w:rPr>
          <w:rFonts w:eastAsia="Arial"/>
        </w:rPr>
        <w:t xml:space="preserve"> — Quanta Services Inc. [Weight: 13.99%]</w:t>
      </w:r>
    </w:p>
    <w:p w14:paraId="74B9E541" w14:textId="77777777" w:rsidR="009909BF" w:rsidRPr="009909BF" w:rsidRDefault="009909BF" w:rsidP="009909BF">
      <w:pPr>
        <w:rPr>
          <w:lang w:val="en-CA"/>
        </w:rPr>
      </w:pPr>
      <w:r w:rsidRPr="009909BF">
        <w:rPr>
          <w:b/>
          <w:color w:val="1F3864"/>
          <w:lang w:val="en-CA"/>
        </w:rPr>
        <w:t xml:space="preserve">Role: </w:t>
      </w:r>
      <w:r w:rsidRPr="009909BF">
        <w:rPr>
          <w:lang w:val="en-CA"/>
        </w:rPr>
        <w:t>Quanta is the leading North American contractor for electric power grid construction and renewable energy infrastructure. PWR builds the physical grid that the rest of the portfolio depends on.</w:t>
      </w:r>
    </w:p>
    <w:p w14:paraId="1A9CE05B" w14:textId="77777777" w:rsidR="009909BF" w:rsidRPr="009909BF" w:rsidRDefault="009909BF" w:rsidP="009909BF">
      <w:pPr>
        <w:rPr>
          <w:lang w:val="en-CA"/>
        </w:rPr>
      </w:pPr>
      <w:r w:rsidRPr="009909BF">
        <w:rPr>
          <w:b/>
          <w:color w:val="1F3864"/>
          <w:lang w:val="en-CA"/>
        </w:rPr>
        <w:t xml:space="preserve">Alpha Rationale: </w:t>
      </w:r>
      <w:r w:rsidRPr="009909BF">
        <w:rPr>
          <w:lang w:val="en-CA"/>
        </w:rPr>
        <w:t xml:space="preserve">Adjusted </w:t>
      </w:r>
      <w:r>
        <w:t>α</w:t>
      </w:r>
      <w:r w:rsidRPr="009909BF">
        <w:rPr>
          <w:lang w:val="en-CA"/>
        </w:rPr>
        <w:t xml:space="preserve"> = +13.28%. Quanta has the highest Sharpe ratio in the universe at 1.204, reflecting strong earnings and execution. The elevated P/E of 54.45x reduces the raw alpha of 32.72% to the adjusted 13.28%.</w:t>
      </w:r>
    </w:p>
    <w:p w14:paraId="0F57D290" w14:textId="1595282A" w:rsidR="009909BF" w:rsidRPr="009909BF" w:rsidRDefault="009909BF" w:rsidP="009909BF">
      <w:pPr>
        <w:rPr>
          <w:lang w:val="en-CA"/>
        </w:rPr>
      </w:pPr>
      <w:r w:rsidRPr="009909BF">
        <w:rPr>
          <w:b/>
          <w:color w:val="1F3864"/>
          <w:lang w:val="en-CA"/>
        </w:rPr>
        <w:t xml:space="preserve">Beta: </w:t>
      </w:r>
      <w:r w:rsidRPr="009909BF">
        <w:rPr>
          <w:lang w:val="en-CA"/>
        </w:rPr>
        <w:t>1.143</w:t>
      </w:r>
      <w:r w:rsidR="00593F91">
        <w:rPr>
          <w:lang w:val="en-CA"/>
        </w:rPr>
        <w:t xml:space="preserve">, </w:t>
      </w:r>
      <w:r w:rsidRPr="009909BF">
        <w:rPr>
          <w:lang w:val="en-CA"/>
        </w:rPr>
        <w:t>moderately above market. PWR tracks the industrial cycle closely.</w:t>
      </w:r>
    </w:p>
    <w:p w14:paraId="37358713" w14:textId="31C76F3E" w:rsidR="009909BF" w:rsidRPr="009909BF" w:rsidRDefault="009909BF" w:rsidP="009909BF">
      <w:pPr>
        <w:rPr>
          <w:lang w:val="en-CA"/>
        </w:rPr>
      </w:pPr>
      <w:r w:rsidRPr="009909BF">
        <w:rPr>
          <w:b/>
          <w:color w:val="1F3864"/>
          <w:lang w:val="en-CA"/>
        </w:rPr>
        <w:t xml:space="preserve">P-Value: </w:t>
      </w:r>
      <w:r w:rsidRPr="009909BF">
        <w:rPr>
          <w:lang w:val="en-CA"/>
        </w:rPr>
        <w:t>Regression intercept p-value = 0.83%</w:t>
      </w:r>
      <w:r w:rsidR="00593F91">
        <w:rPr>
          <w:lang w:val="en-CA"/>
        </w:rPr>
        <w:t xml:space="preserve">, </w:t>
      </w:r>
      <w:r w:rsidRPr="009909BF">
        <w:rPr>
          <w:lang w:val="en-CA"/>
        </w:rPr>
        <w:t>HIGHLY statistically significant. Among the most robust alpha signals in the portfolio.</w:t>
      </w:r>
    </w:p>
    <w:p w14:paraId="1B8BB68D" w14:textId="77777777" w:rsidR="009909BF" w:rsidRPr="009909BF" w:rsidRDefault="009909BF" w:rsidP="009909BF">
      <w:pPr>
        <w:rPr>
          <w:lang w:val="en-CA"/>
        </w:rPr>
      </w:pPr>
      <w:r w:rsidRPr="009909BF">
        <w:rPr>
          <w:b/>
          <w:color w:val="1F3864"/>
          <w:lang w:val="en-CA"/>
        </w:rPr>
        <w:t xml:space="preserve">Valuation Concern: </w:t>
      </w:r>
      <w:r w:rsidRPr="009909BF">
        <w:rPr>
          <w:lang w:val="en-CA"/>
        </w:rPr>
        <w:t>1-year consensus target of $593.30 vs current $585.36 implies only +1.36% upside. The investment case is primarily structural (multi-year grid capex cycle) rather than near-term price appreciation. Position sized at 13.99% despite strong alpha signal because of limited consensus upside.</w:t>
      </w:r>
    </w:p>
    <w:p w14:paraId="0DFC178E" w14:textId="77777777" w:rsidR="009909BF" w:rsidRPr="009909BF" w:rsidRDefault="009909BF" w:rsidP="009909BF">
      <w:pPr>
        <w:pBdr>
          <w:left w:val="single" w:sz="3" w:space="0" w:color="C9A84C"/>
        </w:pBdr>
        <w:spacing w:before="20" w:after="40"/>
        <w:ind w:left="360"/>
        <w:rPr>
          <w:lang w:val="en-CA"/>
        </w:rPr>
      </w:pPr>
      <w:r w:rsidRPr="009909BF">
        <w:rPr>
          <w:rFonts w:ascii="Arial" w:hAnsi="Arial"/>
          <w:i/>
          <w:color w:val="888888"/>
          <w:sz w:val="16"/>
          <w:lang w:val="en-CA"/>
        </w:rPr>
        <w:t>Source: Quanta Services 10-K FY2025; ACWI_index_FV.xlsx Panel E.</w:t>
      </w:r>
    </w:p>
    <w:p w14:paraId="1025954B" w14:textId="77777777" w:rsidR="000F1BB2" w:rsidRDefault="000F1BB2" w:rsidP="005C4523">
      <w:pPr>
        <w:rPr>
          <w:lang w:val="en-CA"/>
        </w:rPr>
      </w:pPr>
    </w:p>
    <w:p w14:paraId="7C2AA4EB" w14:textId="78227C88" w:rsidR="000F1BB2" w:rsidRPr="000F1BB2" w:rsidRDefault="009909BF" w:rsidP="000F1BB2">
      <w:pPr>
        <w:pStyle w:val="Heading4"/>
      </w:pPr>
      <w:proofErr w:type="gramStart"/>
      <w:r>
        <w:rPr>
          <w:rFonts w:eastAsia="Arial"/>
        </w:rPr>
        <w:t>4</w:t>
      </w:r>
      <w:r w:rsidRPr="009909BF">
        <w:rPr>
          <w:rFonts w:eastAsia="Arial"/>
        </w:rPr>
        <w:t>.5.6  HUBB</w:t>
      </w:r>
      <w:proofErr w:type="gramEnd"/>
      <w:r w:rsidRPr="009909BF">
        <w:rPr>
          <w:rFonts w:eastAsia="Arial"/>
        </w:rPr>
        <w:t xml:space="preserve"> — Hubbell Incorporated [Weight: 7.33%]</w:t>
      </w:r>
    </w:p>
    <w:p w14:paraId="40F65242" w14:textId="6E5699CC" w:rsidR="009909BF" w:rsidRPr="00593F91" w:rsidRDefault="009909BF" w:rsidP="009909BF">
      <w:pPr>
        <w:rPr>
          <w:lang w:val="en-CA"/>
        </w:rPr>
      </w:pPr>
      <w:r w:rsidRPr="009909BF">
        <w:rPr>
          <w:b/>
          <w:color w:val="1F3864"/>
          <w:lang w:val="en-CA"/>
        </w:rPr>
        <w:t xml:space="preserve">Role: </w:t>
      </w:r>
      <w:r w:rsidRPr="009909BF">
        <w:rPr>
          <w:lang w:val="en-CA"/>
        </w:rPr>
        <w:t>Hubbell is a US-based designer and manufacturer of electrical and utility solutions</w:t>
      </w:r>
      <w:r w:rsidR="00593F91">
        <w:rPr>
          <w:lang w:val="en-CA"/>
        </w:rPr>
        <w:t xml:space="preserve">: </w:t>
      </w:r>
      <w:r w:rsidRPr="009909BF">
        <w:rPr>
          <w:lang w:val="en-CA"/>
        </w:rPr>
        <w:t xml:space="preserve">distribution, transmission, lighting, and grid controls. </w:t>
      </w:r>
      <w:r w:rsidRPr="00593F91">
        <w:rPr>
          <w:lang w:val="en-CA"/>
        </w:rPr>
        <w:t>Smaller position reflecting mixed valuation signals.</w:t>
      </w:r>
    </w:p>
    <w:p w14:paraId="44BE8D5C" w14:textId="71B647CE" w:rsidR="009909BF" w:rsidRPr="00593F91" w:rsidRDefault="009909BF" w:rsidP="009909BF">
      <w:pPr>
        <w:rPr>
          <w:lang w:val="en-CA"/>
        </w:rPr>
      </w:pPr>
      <w:r w:rsidRPr="00593F91">
        <w:rPr>
          <w:b/>
          <w:color w:val="1F3864"/>
          <w:lang w:val="en-CA"/>
        </w:rPr>
        <w:t xml:space="preserve">Alpha Rationale: </w:t>
      </w:r>
      <w:r w:rsidRPr="00593F91">
        <w:rPr>
          <w:lang w:val="en-CA"/>
        </w:rPr>
        <w:t xml:space="preserve">Adjusted </w:t>
      </w:r>
      <w:r>
        <w:t>α</w:t>
      </w:r>
      <w:r w:rsidRPr="00593F91">
        <w:rPr>
          <w:lang w:val="en-CA"/>
        </w:rPr>
        <w:t xml:space="preserve"> = +13.73% (raw alpha 15.83% before P/E adjustment at 33.35x). Hubbell has strong firm-specific alpha but</w:t>
      </w:r>
      <w:r w:rsidR="00593F91">
        <w:rPr>
          <w:lang w:val="en-CA"/>
        </w:rPr>
        <w:t xml:space="preserve">, </w:t>
      </w:r>
      <w:r w:rsidRPr="00593F91">
        <w:rPr>
          <w:lang w:val="en-CA"/>
        </w:rPr>
        <w:t>critically</w:t>
      </w:r>
      <w:r w:rsidR="00593F91">
        <w:rPr>
          <w:lang w:val="en-CA"/>
        </w:rPr>
        <w:t>,</w:t>
      </w:r>
      <w:r w:rsidRPr="00593F91">
        <w:rPr>
          <w:lang w:val="en-CA"/>
        </w:rPr>
        <w:t xml:space="preserve"> its 1-year analyst consensus target is BELOW current price, implying downside.</w:t>
      </w:r>
    </w:p>
    <w:p w14:paraId="5D41E507" w14:textId="56CC6872" w:rsidR="009909BF" w:rsidRPr="00593F91" w:rsidRDefault="009909BF" w:rsidP="009909BF">
      <w:pPr>
        <w:rPr>
          <w:lang w:val="en-CA"/>
        </w:rPr>
      </w:pPr>
      <w:r w:rsidRPr="00593F91">
        <w:rPr>
          <w:b/>
          <w:color w:val="1F3864"/>
          <w:lang w:val="en-CA"/>
        </w:rPr>
        <w:t xml:space="preserve">Beta: </w:t>
      </w:r>
      <w:r w:rsidRPr="00593F91">
        <w:rPr>
          <w:lang w:val="en-CA"/>
        </w:rPr>
        <w:t>0.986</w:t>
      </w:r>
      <w:r w:rsidR="00593F91">
        <w:rPr>
          <w:lang w:val="en-CA"/>
        </w:rPr>
        <w:t>,</w:t>
      </w:r>
      <w:r w:rsidRPr="00593F91">
        <w:rPr>
          <w:lang w:val="en-CA"/>
        </w:rPr>
        <w:t xml:space="preserve"> nearly market-neutral, providing portfolio balance.</w:t>
      </w:r>
    </w:p>
    <w:p w14:paraId="43FC18E1" w14:textId="5E84F674" w:rsidR="009909BF" w:rsidRPr="00593F91" w:rsidRDefault="009909BF" w:rsidP="009909BF">
      <w:pPr>
        <w:rPr>
          <w:lang w:val="en-CA"/>
        </w:rPr>
      </w:pPr>
      <w:r w:rsidRPr="00593F91">
        <w:rPr>
          <w:b/>
          <w:color w:val="1F3864"/>
          <w:lang w:val="en-CA"/>
        </w:rPr>
        <w:t xml:space="preserve">P-Value Caveat: </w:t>
      </w:r>
      <w:r w:rsidRPr="00593F91">
        <w:rPr>
          <w:lang w:val="en-CA"/>
        </w:rPr>
        <w:t>Regression intercept p-value = 14.48%</w:t>
      </w:r>
      <w:r w:rsidR="00593F91">
        <w:rPr>
          <w:lang w:val="en-CA"/>
        </w:rPr>
        <w:t xml:space="preserve">, </w:t>
      </w:r>
      <w:r w:rsidRPr="00593F91">
        <w:rPr>
          <w:lang w:val="en-CA"/>
        </w:rPr>
        <w:t>above the 10% threshold. HUBB alpha is NOT statistically significant. Combined with negative analyst consensus outlook, HUBB is the portfolio's most uncertain position.</w:t>
      </w:r>
    </w:p>
    <w:p w14:paraId="395359B0" w14:textId="27869117" w:rsidR="009909BF" w:rsidRPr="00593F91" w:rsidRDefault="009909BF" w:rsidP="009909BF">
      <w:pPr>
        <w:rPr>
          <w:lang w:val="en-CA"/>
        </w:rPr>
      </w:pPr>
      <w:r w:rsidRPr="00593F91">
        <w:rPr>
          <w:b/>
          <w:color w:val="1F3864"/>
          <w:lang w:val="en-CA"/>
        </w:rPr>
        <w:t xml:space="preserve">Valuation Red Flag: </w:t>
      </w:r>
      <w:r w:rsidRPr="00593F91">
        <w:rPr>
          <w:lang w:val="en-CA"/>
        </w:rPr>
        <w:t xml:space="preserve">Current price $526.94 vs 1-year consensus target of $445.50 </w:t>
      </w:r>
      <w:r w:rsidR="00593F91" w:rsidRPr="00593F91">
        <w:rPr>
          <w:lang w:val="en-CA"/>
        </w:rPr>
        <w:t>implies</w:t>
      </w:r>
      <w:r w:rsidR="00593F91">
        <w:rPr>
          <w:lang w:val="en-CA"/>
        </w:rPr>
        <w:t xml:space="preserve"> </w:t>
      </w:r>
      <w:r w:rsidRPr="00593F91">
        <w:rPr>
          <w:lang w:val="en-CA"/>
        </w:rPr>
        <w:t>15.46% DOWNSIDE. The Treynor-Black model assigns 7.33% weight based on historical alpha, but forward-looking analyst consensus disagrees. HUBB is flagged for quarterly reassessment and potential reduction (see Section 4.7).</w:t>
      </w:r>
    </w:p>
    <w:p w14:paraId="4DA488A2" w14:textId="77777777" w:rsidR="009909BF" w:rsidRPr="00593F91" w:rsidRDefault="009909BF" w:rsidP="009909BF">
      <w:pPr>
        <w:pBdr>
          <w:left w:val="single" w:sz="3" w:space="0" w:color="C9A84C"/>
        </w:pBdr>
        <w:spacing w:before="20" w:after="40"/>
        <w:ind w:left="360"/>
        <w:rPr>
          <w:lang w:val="en-CA"/>
        </w:rPr>
      </w:pPr>
      <w:r w:rsidRPr="00593F91">
        <w:rPr>
          <w:rFonts w:ascii="Arial" w:hAnsi="Arial"/>
          <w:i/>
          <w:color w:val="888888"/>
          <w:sz w:val="16"/>
          <w:lang w:val="en-CA"/>
        </w:rPr>
        <w:t>Source: Hubbell Inc 10-K FY2025; ACWI_index_FV.xlsx Panel A/E; consensus target downward revision noted.</w:t>
      </w:r>
    </w:p>
    <w:p w14:paraId="5361B640" w14:textId="77777777" w:rsidR="00593F91" w:rsidRDefault="00593F91" w:rsidP="00593F91">
      <w:pPr>
        <w:pStyle w:val="Heading4"/>
      </w:pPr>
    </w:p>
    <w:p w14:paraId="5E977721" w14:textId="1B84DEBD" w:rsidR="00593F91" w:rsidRPr="00593F91" w:rsidRDefault="00593F91" w:rsidP="00593F91">
      <w:pPr>
        <w:pStyle w:val="Heading4"/>
      </w:pPr>
      <w:proofErr w:type="gramStart"/>
      <w:r w:rsidRPr="00593F91">
        <w:t>4.5.7  AEP</w:t>
      </w:r>
      <w:proofErr w:type="gramEnd"/>
      <w:r w:rsidRPr="00593F91">
        <w:t xml:space="preserve"> — American Electric Power Co. [Weight: 1.89%]</w:t>
      </w:r>
    </w:p>
    <w:p w14:paraId="6337250D" w14:textId="6FEC700D" w:rsidR="00593F91" w:rsidRPr="00593F91" w:rsidRDefault="00593F91" w:rsidP="00593F91">
      <w:pPr>
        <w:rPr>
          <w:lang w:val="en-CA"/>
        </w:rPr>
      </w:pPr>
      <w:r w:rsidRPr="00593F91">
        <w:rPr>
          <w:b/>
          <w:color w:val="1F3864"/>
          <w:lang w:val="en-CA"/>
        </w:rPr>
        <w:t xml:space="preserve">Role: </w:t>
      </w:r>
      <w:r w:rsidRPr="00593F91">
        <w:rPr>
          <w:lang w:val="en-CA"/>
        </w:rPr>
        <w:t>AEP is a traditional regulated utility</w:t>
      </w:r>
      <w:r>
        <w:rPr>
          <w:lang w:val="en-CA"/>
        </w:rPr>
        <w:t xml:space="preserve">, </w:t>
      </w:r>
      <w:r w:rsidRPr="00593F91">
        <w:rPr>
          <w:lang w:val="en-CA"/>
        </w:rPr>
        <w:t>grid baseload provider for the Midwest US. Smallest active weight in the portfolio, functioning as a defensive anchor.</w:t>
      </w:r>
    </w:p>
    <w:p w14:paraId="55955C22" w14:textId="77777777" w:rsidR="00593F91" w:rsidRPr="00593F91" w:rsidRDefault="00593F91" w:rsidP="00593F91">
      <w:pPr>
        <w:rPr>
          <w:lang w:val="en-CA"/>
        </w:rPr>
      </w:pPr>
      <w:r w:rsidRPr="00593F91">
        <w:rPr>
          <w:b/>
          <w:color w:val="1F3864"/>
          <w:lang w:val="en-CA"/>
        </w:rPr>
        <w:t xml:space="preserve">Alpha Rationale: </w:t>
      </w:r>
      <w:r w:rsidRPr="00593F91">
        <w:rPr>
          <w:lang w:val="en-CA"/>
        </w:rPr>
        <w:t xml:space="preserve">Adjusted </w:t>
      </w:r>
      <w:r>
        <w:t>α</w:t>
      </w:r>
      <w:r w:rsidRPr="00593F91">
        <w:rPr>
          <w:lang w:val="en-CA"/>
        </w:rPr>
        <w:t xml:space="preserve"> = +2.61%. The smallest alpha among the long positions; correspondingly the smallest active weight at 1.89%.</w:t>
      </w:r>
    </w:p>
    <w:p w14:paraId="5DFC5A38" w14:textId="01C07565" w:rsidR="00593F91" w:rsidRPr="00593F91" w:rsidRDefault="00593F91" w:rsidP="00593F91">
      <w:pPr>
        <w:rPr>
          <w:lang w:val="en-CA"/>
        </w:rPr>
      </w:pPr>
      <w:r w:rsidRPr="00593F91">
        <w:rPr>
          <w:b/>
          <w:color w:val="1F3864"/>
          <w:lang w:val="en-CA"/>
        </w:rPr>
        <w:t xml:space="preserve">Beta: </w:t>
      </w:r>
      <w:r w:rsidRPr="00593F91">
        <w:rPr>
          <w:lang w:val="en-CA"/>
        </w:rPr>
        <w:t>0.660</w:t>
      </w:r>
      <w:r>
        <w:rPr>
          <w:lang w:val="en-CA"/>
        </w:rPr>
        <w:t xml:space="preserve">, </w:t>
      </w:r>
      <w:r w:rsidRPr="00593F91">
        <w:rPr>
          <w:lang w:val="en-CA"/>
        </w:rPr>
        <w:t>the lowest in the portfolio. AEP is a defensive volatility dampener, particularly valuable given Minh Tri's conservative mandate.</w:t>
      </w:r>
    </w:p>
    <w:p w14:paraId="351DF654" w14:textId="4E78C1BE" w:rsidR="00593F91" w:rsidRPr="00593F91" w:rsidRDefault="00593F91" w:rsidP="00593F91">
      <w:pPr>
        <w:rPr>
          <w:lang w:val="en-CA"/>
        </w:rPr>
      </w:pPr>
      <w:r w:rsidRPr="00593F91">
        <w:rPr>
          <w:b/>
          <w:color w:val="1F3864"/>
          <w:lang w:val="en-CA"/>
        </w:rPr>
        <w:lastRenderedPageBreak/>
        <w:t xml:space="preserve">P-Value Caveat: </w:t>
      </w:r>
      <w:r w:rsidRPr="00593F91">
        <w:rPr>
          <w:lang w:val="en-CA"/>
        </w:rPr>
        <w:t>Regression intercept p-value = 69.73%</w:t>
      </w:r>
      <w:r>
        <w:rPr>
          <w:lang w:val="en-CA"/>
        </w:rPr>
        <w:t xml:space="preserve">, </w:t>
      </w:r>
      <w:r w:rsidRPr="00593F91">
        <w:rPr>
          <w:lang w:val="en-CA"/>
        </w:rPr>
        <w:t>by far the highest p-value. AEP's alpha is essentially statistically indistinguishable from zero. The small 1.89% weight reflects the model's appropriate recognition of weak statistical significance.</w:t>
      </w:r>
    </w:p>
    <w:p w14:paraId="597FC224" w14:textId="77777777" w:rsidR="00593F91" w:rsidRPr="00593F91" w:rsidRDefault="00593F91" w:rsidP="00593F91">
      <w:pPr>
        <w:rPr>
          <w:lang w:val="en-CA"/>
        </w:rPr>
      </w:pPr>
      <w:r w:rsidRPr="00593F91">
        <w:rPr>
          <w:b/>
          <w:color w:val="1F3864"/>
          <w:lang w:val="en-CA"/>
        </w:rPr>
        <w:t xml:space="preserve">Conservative Fit: </w:t>
      </w:r>
      <w:r w:rsidRPr="00593F91">
        <w:rPr>
          <w:lang w:val="en-CA"/>
        </w:rPr>
        <w:t>Despite weak alpha, AEP's low beta provides portfolio stability. Its 2.89% dividend yield adds defensive income.</w:t>
      </w:r>
    </w:p>
    <w:p w14:paraId="2BF40E06" w14:textId="2BA2456C" w:rsidR="00593F91" w:rsidRPr="00593F91" w:rsidRDefault="00593F91" w:rsidP="00175B2B">
      <w:pPr>
        <w:pBdr>
          <w:left w:val="single" w:sz="3" w:space="0" w:color="C9A84C"/>
        </w:pBdr>
        <w:spacing w:before="20" w:after="40"/>
        <w:ind w:left="360"/>
        <w:rPr>
          <w:lang w:val="en-CA"/>
        </w:rPr>
      </w:pPr>
      <w:r w:rsidRPr="00593F91">
        <w:rPr>
          <w:rFonts w:ascii="Arial" w:hAnsi="Arial"/>
          <w:i/>
          <w:color w:val="888888"/>
          <w:sz w:val="16"/>
          <w:lang w:val="en-CA"/>
        </w:rPr>
        <w:t>Source: American Electric Power 10-K FY2025; ACWI_index_FV.xlsx Panel A/E.</w:t>
      </w:r>
    </w:p>
    <w:p w14:paraId="19456923" w14:textId="46E4928D" w:rsidR="000F1BB2" w:rsidRDefault="000F1BB2" w:rsidP="000F1BB2">
      <w:pPr>
        <w:pStyle w:val="Heading3"/>
      </w:pPr>
      <w:bookmarkStart w:id="33" w:name="_Toc227618169"/>
      <w:r>
        <w:t>4.6 Active Portfolio Construction Summary</w:t>
      </w:r>
      <w:bookmarkEnd w:id="33"/>
    </w:p>
    <w:tbl>
      <w:tblPr>
        <w:tblW w:w="9360" w:type="dxa"/>
        <w:jc w:val="center"/>
        <w:tblCellMar>
          <w:left w:w="10" w:type="dxa"/>
          <w:right w:w="10" w:type="dxa"/>
        </w:tblCellMar>
        <w:tblLook w:val="04A0" w:firstRow="1" w:lastRow="0" w:firstColumn="1" w:lastColumn="0" w:noHBand="0" w:noVBand="1"/>
      </w:tblPr>
      <w:tblGrid>
        <w:gridCol w:w="1800"/>
        <w:gridCol w:w="1680"/>
        <w:gridCol w:w="1440"/>
        <w:gridCol w:w="1440"/>
        <w:gridCol w:w="980"/>
        <w:gridCol w:w="1020"/>
        <w:gridCol w:w="1000"/>
      </w:tblGrid>
      <w:tr w:rsidR="00593F91" w14:paraId="22C48BA1" w14:textId="77777777" w:rsidTr="00593F91">
        <w:tblPrEx>
          <w:tblCellMar>
            <w:top w:w="0" w:type="dxa"/>
            <w:bottom w:w="0" w:type="dxa"/>
          </w:tblCellMar>
        </w:tblPrEx>
        <w:trPr>
          <w:jc w:val="center"/>
        </w:trPr>
        <w:tc>
          <w:tcPr>
            <w:tcW w:w="18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27F36C6D" w14:textId="77777777" w:rsidR="00593F91" w:rsidRDefault="00593F91" w:rsidP="00155891">
            <w:pPr>
              <w:jc w:val="center"/>
            </w:pPr>
            <w:r>
              <w:rPr>
                <w:rFonts w:ascii="Arial" w:hAnsi="Arial"/>
                <w:b/>
                <w:color w:val="FFFFFF"/>
                <w:sz w:val="18"/>
              </w:rPr>
              <w:t>Panel</w:t>
            </w:r>
          </w:p>
        </w:tc>
        <w:tc>
          <w:tcPr>
            <w:tcW w:w="16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4093472C" w14:textId="77777777" w:rsidR="00593F91" w:rsidRDefault="00593F91" w:rsidP="00155891">
            <w:pPr>
              <w:jc w:val="center"/>
            </w:pPr>
            <w:proofErr w:type="spellStart"/>
            <w:r>
              <w:rPr>
                <w:rFonts w:ascii="Arial" w:hAnsi="Arial"/>
                <w:b/>
                <w:color w:val="FFFFFF"/>
                <w:sz w:val="18"/>
              </w:rPr>
              <w:t>Metric</w:t>
            </w:r>
            <w:proofErr w:type="spellEnd"/>
          </w:p>
        </w:tc>
        <w:tc>
          <w:tcPr>
            <w:tcW w:w="144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D1E37F3" w14:textId="77777777" w:rsidR="00593F91" w:rsidRDefault="00593F91" w:rsidP="00155891">
            <w:pPr>
              <w:jc w:val="center"/>
            </w:pPr>
            <w:r>
              <w:rPr>
                <w:rFonts w:ascii="Arial" w:hAnsi="Arial"/>
                <w:b/>
                <w:color w:val="FFFFFF"/>
                <w:sz w:val="18"/>
              </w:rPr>
              <w:t>ACWI (Index)</w:t>
            </w:r>
          </w:p>
        </w:tc>
        <w:tc>
          <w:tcPr>
            <w:tcW w:w="144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B5564BB" w14:textId="77777777" w:rsidR="00593F91" w:rsidRDefault="00593F91" w:rsidP="00155891">
            <w:pPr>
              <w:jc w:val="center"/>
            </w:pPr>
            <w:r>
              <w:rPr>
                <w:rFonts w:ascii="Arial" w:hAnsi="Arial"/>
                <w:b/>
                <w:color w:val="FFFFFF"/>
                <w:sz w:val="18"/>
              </w:rPr>
              <w:t>Active Pf</w:t>
            </w:r>
          </w:p>
        </w:tc>
        <w:tc>
          <w:tcPr>
            <w:tcW w:w="9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60632B9" w14:textId="77777777" w:rsidR="00593F91" w:rsidRDefault="00593F91" w:rsidP="00155891">
            <w:pPr>
              <w:jc w:val="center"/>
            </w:pPr>
            <w:r>
              <w:rPr>
                <w:rFonts w:ascii="Arial" w:hAnsi="Arial"/>
                <w:b/>
                <w:color w:val="FFFFFF"/>
                <w:sz w:val="18"/>
              </w:rPr>
              <w:t>SBGSY</w:t>
            </w:r>
          </w:p>
        </w:tc>
        <w:tc>
          <w:tcPr>
            <w:tcW w:w="10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46D4C669" w14:textId="77777777" w:rsidR="00593F91" w:rsidRDefault="00593F91" w:rsidP="00155891">
            <w:pPr>
              <w:jc w:val="center"/>
            </w:pPr>
            <w:r>
              <w:rPr>
                <w:rFonts w:ascii="Arial" w:hAnsi="Arial"/>
                <w:b/>
                <w:color w:val="FFFFFF"/>
                <w:sz w:val="18"/>
              </w:rPr>
              <w:t>MLI</w:t>
            </w:r>
          </w:p>
        </w:tc>
        <w:tc>
          <w:tcPr>
            <w:tcW w:w="10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BCC96DD" w14:textId="77777777" w:rsidR="00593F91" w:rsidRDefault="00593F91" w:rsidP="00155891">
            <w:pPr>
              <w:jc w:val="center"/>
            </w:pPr>
            <w:r>
              <w:rPr>
                <w:rFonts w:ascii="Arial" w:hAnsi="Arial"/>
                <w:b/>
                <w:color w:val="FFFFFF"/>
                <w:sz w:val="18"/>
              </w:rPr>
              <w:t>NVT</w:t>
            </w:r>
          </w:p>
        </w:tc>
      </w:tr>
      <w:tr w:rsidR="00593F91" w14:paraId="5089AE87"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92D762E"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01BA29F" w14:textId="77777777" w:rsidR="00593F91" w:rsidRDefault="00593F91" w:rsidP="00155891">
            <w:pPr>
              <w:jc w:val="center"/>
            </w:pPr>
            <w:proofErr w:type="spellStart"/>
            <w:r>
              <w:rPr>
                <w:rFonts w:ascii="Arial" w:hAnsi="Arial"/>
                <w:b/>
                <w:color w:val="2C2C2C"/>
                <w:sz w:val="19"/>
              </w:rPr>
              <w:t>Expected</w:t>
            </w:r>
            <w:proofErr w:type="spellEnd"/>
            <w:r>
              <w:rPr>
                <w:rFonts w:ascii="Arial" w:hAnsi="Arial"/>
                <w:b/>
                <w:color w:val="2C2C2C"/>
                <w:sz w:val="19"/>
              </w:rPr>
              <w:t xml:space="preserve"> Return</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F3A746C" w14:textId="77777777" w:rsidR="00593F91" w:rsidRDefault="00593F91" w:rsidP="00155891">
            <w:pPr>
              <w:jc w:val="center"/>
            </w:pPr>
            <w:r>
              <w:rPr>
                <w:rFonts w:ascii="Arial" w:hAnsi="Arial"/>
                <w:color w:val="2C2C2C"/>
                <w:sz w:val="19"/>
              </w:rPr>
              <w:t>4.35%</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09111B9" w14:textId="77777777" w:rsidR="00593F91" w:rsidRDefault="00593F91" w:rsidP="00155891">
            <w:pPr>
              <w:jc w:val="center"/>
            </w:pPr>
            <w:r>
              <w:rPr>
                <w:rFonts w:ascii="Arial" w:hAnsi="Arial"/>
                <w:color w:val="2C2C2C"/>
                <w:sz w:val="19"/>
              </w:rPr>
              <w:t>29.48%</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861D2C7" w14:textId="77777777" w:rsidR="00593F91" w:rsidRDefault="00593F91" w:rsidP="00155891">
            <w:pPr>
              <w:jc w:val="center"/>
            </w:pPr>
            <w:r>
              <w:rPr>
                <w:rFonts w:ascii="Arial" w:hAnsi="Arial"/>
                <w:color w:val="2C2C2C"/>
                <w:sz w:val="19"/>
              </w:rPr>
              <w:t>14.49%</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BDFFDB4" w14:textId="77777777" w:rsidR="00593F91" w:rsidRDefault="00593F91" w:rsidP="00155891">
            <w:pPr>
              <w:jc w:val="center"/>
            </w:pPr>
            <w:r>
              <w:rPr>
                <w:rFonts w:ascii="Arial" w:hAnsi="Arial"/>
                <w:color w:val="2C2C2C"/>
                <w:sz w:val="19"/>
              </w:rPr>
              <w:t>33.53%</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B149AF7" w14:textId="77777777" w:rsidR="00593F91" w:rsidRDefault="00593F91" w:rsidP="00155891">
            <w:pPr>
              <w:jc w:val="center"/>
            </w:pPr>
            <w:r>
              <w:rPr>
                <w:rFonts w:ascii="Arial" w:hAnsi="Arial"/>
                <w:color w:val="2C2C2C"/>
                <w:sz w:val="19"/>
              </w:rPr>
              <w:t>28.50%</w:t>
            </w:r>
          </w:p>
        </w:tc>
      </w:tr>
      <w:tr w:rsidR="00593F91" w14:paraId="3B93A267"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CF93EBE"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0E8E6BA" w14:textId="77777777" w:rsidR="00593F91" w:rsidRDefault="00593F91" w:rsidP="00155891">
            <w:pPr>
              <w:jc w:val="center"/>
            </w:pPr>
            <w:r>
              <w:rPr>
                <w:rFonts w:ascii="Arial" w:hAnsi="Arial"/>
                <w:b/>
                <w:color w:val="2C2C2C"/>
                <w:sz w:val="19"/>
              </w:rPr>
              <w:t xml:space="preserve">Standard </w:t>
            </w:r>
            <w:proofErr w:type="spellStart"/>
            <w:r>
              <w:rPr>
                <w:rFonts w:ascii="Arial" w:hAnsi="Arial"/>
                <w:b/>
                <w:color w:val="2C2C2C"/>
                <w:sz w:val="19"/>
              </w:rPr>
              <w:t>Deviation</w:t>
            </w:r>
            <w:proofErr w:type="spellEnd"/>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1E83008" w14:textId="77777777" w:rsidR="00593F91" w:rsidRDefault="00593F91" w:rsidP="00155891">
            <w:pPr>
              <w:jc w:val="center"/>
            </w:pPr>
            <w:r>
              <w:rPr>
                <w:rFonts w:ascii="Arial" w:hAnsi="Arial"/>
                <w:color w:val="2C2C2C"/>
                <w:sz w:val="19"/>
              </w:rPr>
              <w:t>14.97%</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387812A" w14:textId="77777777" w:rsidR="00593F91" w:rsidRDefault="00593F91" w:rsidP="00155891">
            <w:pPr>
              <w:jc w:val="center"/>
            </w:pPr>
            <w:r>
              <w:rPr>
                <w:rFonts w:ascii="Arial" w:hAnsi="Arial"/>
                <w:color w:val="2C2C2C"/>
                <w:sz w:val="19"/>
              </w:rPr>
              <w:t>22.12%</w:t>
            </w:r>
          </w:p>
        </w:tc>
        <w:tc>
          <w:tcPr>
            <w:tcW w:w="9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073156E" w14:textId="77777777" w:rsidR="00593F91" w:rsidRDefault="00593F91" w:rsidP="00155891">
            <w:pPr>
              <w:jc w:val="center"/>
            </w:pPr>
            <w:r>
              <w:rPr>
                <w:rFonts w:ascii="Arial" w:hAnsi="Arial"/>
                <w:color w:val="2C2C2C"/>
                <w:sz w:val="19"/>
              </w:rPr>
              <w:t>30.69%</w:t>
            </w:r>
          </w:p>
        </w:tc>
        <w:tc>
          <w:tcPr>
            <w:tcW w:w="10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A09E964" w14:textId="77777777" w:rsidR="00593F91" w:rsidRDefault="00593F91" w:rsidP="00155891">
            <w:pPr>
              <w:jc w:val="center"/>
            </w:pPr>
            <w:r>
              <w:rPr>
                <w:rFonts w:ascii="Arial" w:hAnsi="Arial"/>
                <w:color w:val="2C2C2C"/>
                <w:sz w:val="19"/>
              </w:rPr>
              <w:t>30.96%</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94B5F4B" w14:textId="77777777" w:rsidR="00593F91" w:rsidRDefault="00593F91" w:rsidP="00155891">
            <w:pPr>
              <w:jc w:val="center"/>
            </w:pPr>
            <w:r>
              <w:rPr>
                <w:rFonts w:ascii="Arial" w:hAnsi="Arial"/>
                <w:color w:val="2C2C2C"/>
                <w:sz w:val="19"/>
              </w:rPr>
              <w:t>30.02%</w:t>
            </w:r>
          </w:p>
        </w:tc>
      </w:tr>
      <w:tr w:rsidR="00593F91" w14:paraId="3BCEDFD2"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9CA214F"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A6CB003" w14:textId="77777777" w:rsidR="00593F91" w:rsidRDefault="00593F91" w:rsidP="00155891">
            <w:pPr>
              <w:jc w:val="center"/>
            </w:pPr>
            <w:r>
              <w:rPr>
                <w:rFonts w:ascii="Arial" w:hAnsi="Arial"/>
                <w:b/>
                <w:color w:val="2C2C2C"/>
                <w:sz w:val="19"/>
              </w:rPr>
              <w:t>Sharpe Ratio</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6A93489" w14:textId="77777777" w:rsidR="00593F91" w:rsidRDefault="00593F91" w:rsidP="00155891">
            <w:pPr>
              <w:jc w:val="center"/>
            </w:pPr>
            <w:r>
              <w:rPr>
                <w:rFonts w:ascii="Arial" w:hAnsi="Arial"/>
                <w:color w:val="2C2C2C"/>
                <w:sz w:val="19"/>
              </w:rPr>
              <w:t>0.291</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451569E" w14:textId="77777777" w:rsidR="00593F91" w:rsidRDefault="00593F91" w:rsidP="00155891">
            <w:pPr>
              <w:jc w:val="center"/>
            </w:pPr>
            <w:r>
              <w:rPr>
                <w:rFonts w:ascii="Arial" w:hAnsi="Arial"/>
                <w:color w:val="2C2C2C"/>
                <w:sz w:val="19"/>
              </w:rPr>
              <w:t>1.109</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F74C5FD" w14:textId="77777777" w:rsidR="00593F91" w:rsidRDefault="00593F91" w:rsidP="00155891">
            <w:pPr>
              <w:jc w:val="center"/>
            </w:pPr>
            <w:r>
              <w:rPr>
                <w:rFonts w:ascii="Arial" w:hAnsi="Arial"/>
                <w:color w:val="2C2C2C"/>
                <w:sz w:val="19"/>
              </w:rPr>
              <w:t>0.472</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DDC458A" w14:textId="77777777" w:rsidR="00593F91" w:rsidRDefault="00593F91" w:rsidP="00155891">
            <w:pPr>
              <w:jc w:val="center"/>
            </w:pPr>
            <w:r>
              <w:rPr>
                <w:rFonts w:ascii="Arial" w:hAnsi="Arial"/>
                <w:color w:val="2C2C2C"/>
                <w:sz w:val="19"/>
              </w:rPr>
              <w:t>1.083</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66495AC" w14:textId="77777777" w:rsidR="00593F91" w:rsidRDefault="00593F91" w:rsidP="00155891">
            <w:pPr>
              <w:jc w:val="center"/>
            </w:pPr>
            <w:r>
              <w:rPr>
                <w:rFonts w:ascii="Arial" w:hAnsi="Arial"/>
                <w:color w:val="2C2C2C"/>
                <w:sz w:val="19"/>
              </w:rPr>
              <w:t>0.949</w:t>
            </w:r>
          </w:p>
        </w:tc>
      </w:tr>
      <w:tr w:rsidR="00593F91" w14:paraId="3B2DB5C6"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A6D4A31"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DC3F78B" w14:textId="77777777" w:rsidR="00593F91" w:rsidRDefault="00593F91" w:rsidP="00155891">
            <w:pPr>
              <w:jc w:val="center"/>
            </w:pPr>
            <w:r>
              <w:rPr>
                <w:rFonts w:ascii="Arial" w:hAnsi="Arial"/>
                <w:b/>
                <w:color w:val="2C2C2C"/>
                <w:sz w:val="19"/>
              </w:rPr>
              <w:t>Beta (β)</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1FC5CC0" w14:textId="77777777" w:rsidR="00593F91" w:rsidRDefault="00593F91" w:rsidP="00155891">
            <w:pPr>
              <w:jc w:val="center"/>
            </w:pPr>
            <w:r>
              <w:rPr>
                <w:rFonts w:ascii="Arial" w:hAnsi="Arial"/>
                <w:color w:val="2C2C2C"/>
                <w:sz w:val="19"/>
              </w:rPr>
              <w:t>1.000</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97EEFA4" w14:textId="77777777" w:rsidR="00593F91" w:rsidRDefault="00593F91" w:rsidP="00155891">
            <w:pPr>
              <w:jc w:val="center"/>
            </w:pPr>
            <w:r>
              <w:rPr>
                <w:rFonts w:ascii="Arial" w:hAnsi="Arial"/>
                <w:color w:val="2C2C2C"/>
                <w:sz w:val="19"/>
              </w:rPr>
              <w:t>1.274</w:t>
            </w:r>
          </w:p>
        </w:tc>
        <w:tc>
          <w:tcPr>
            <w:tcW w:w="9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5BC41C5" w14:textId="77777777" w:rsidR="00593F91" w:rsidRDefault="00593F91" w:rsidP="00155891">
            <w:pPr>
              <w:jc w:val="center"/>
            </w:pPr>
            <w:r>
              <w:rPr>
                <w:rFonts w:ascii="Arial" w:hAnsi="Arial"/>
                <w:color w:val="2C2C2C"/>
                <w:sz w:val="19"/>
              </w:rPr>
              <w:t>1.216</w:t>
            </w:r>
          </w:p>
        </w:tc>
        <w:tc>
          <w:tcPr>
            <w:tcW w:w="10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233EF38" w14:textId="77777777" w:rsidR="00593F91" w:rsidRDefault="00593F91" w:rsidP="00155891">
            <w:pPr>
              <w:jc w:val="center"/>
            </w:pPr>
            <w:r>
              <w:rPr>
                <w:rFonts w:ascii="Arial" w:hAnsi="Arial"/>
                <w:color w:val="2C2C2C"/>
                <w:sz w:val="19"/>
              </w:rPr>
              <w:t>1.064</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D6D0A37" w14:textId="77777777" w:rsidR="00593F91" w:rsidRDefault="00593F91" w:rsidP="00155891">
            <w:pPr>
              <w:jc w:val="center"/>
            </w:pPr>
            <w:r>
              <w:rPr>
                <w:rFonts w:ascii="Arial" w:hAnsi="Arial"/>
                <w:color w:val="2C2C2C"/>
                <w:sz w:val="19"/>
              </w:rPr>
              <w:t>1.300</w:t>
            </w:r>
          </w:p>
        </w:tc>
      </w:tr>
      <w:tr w:rsidR="00593F91" w14:paraId="1EFF586A"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3A345F1"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9BF26AA" w14:textId="77777777" w:rsidR="00593F91" w:rsidRDefault="00593F91" w:rsidP="00155891">
            <w:pPr>
              <w:jc w:val="center"/>
            </w:pPr>
            <w:proofErr w:type="spellStart"/>
            <w:r>
              <w:rPr>
                <w:rFonts w:ascii="Arial" w:hAnsi="Arial"/>
                <w:b/>
                <w:color w:val="2C2C2C"/>
                <w:sz w:val="19"/>
              </w:rPr>
              <w:t>Treynor</w:t>
            </w:r>
            <w:proofErr w:type="spellEnd"/>
            <w:r>
              <w:rPr>
                <w:rFonts w:ascii="Arial" w:hAnsi="Arial"/>
                <w:b/>
                <w:color w:val="2C2C2C"/>
                <w:sz w:val="19"/>
              </w:rPr>
              <w:t xml:space="preserve"> </w:t>
            </w:r>
            <w:proofErr w:type="spellStart"/>
            <w:r>
              <w:rPr>
                <w:rFonts w:ascii="Arial" w:hAnsi="Arial"/>
                <w:b/>
                <w:color w:val="2C2C2C"/>
                <w:sz w:val="19"/>
              </w:rPr>
              <w:t>Measure</w:t>
            </w:r>
            <w:proofErr w:type="spellEnd"/>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53B01C2" w14:textId="77777777" w:rsidR="00593F91" w:rsidRDefault="00593F91" w:rsidP="00155891">
            <w:pPr>
              <w:jc w:val="center"/>
            </w:pPr>
            <w:r>
              <w:rPr>
                <w:rFonts w:ascii="Arial" w:hAnsi="Arial"/>
                <w:color w:val="2C2C2C"/>
                <w:sz w:val="19"/>
              </w:rPr>
              <w:t>0.056</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3BF1338" w14:textId="77777777" w:rsidR="00593F91" w:rsidRDefault="00593F91" w:rsidP="00155891">
            <w:pPr>
              <w:jc w:val="center"/>
            </w:pPr>
            <w:r>
              <w:rPr>
                <w:rFonts w:ascii="Arial" w:hAnsi="Arial"/>
                <w:color w:val="2C2C2C"/>
                <w:sz w:val="19"/>
              </w:rPr>
              <w:t>0.193</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4511779" w14:textId="77777777" w:rsidR="00593F91" w:rsidRDefault="00593F91" w:rsidP="00155891">
            <w:pPr>
              <w:jc w:val="center"/>
            </w:pPr>
            <w:r>
              <w:rPr>
                <w:rFonts w:ascii="Arial" w:hAnsi="Arial"/>
                <w:color w:val="2C2C2C"/>
                <w:sz w:val="19"/>
              </w:rPr>
              <w:t>0.076</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5FE456B" w14:textId="77777777" w:rsidR="00593F91" w:rsidRDefault="00593F91" w:rsidP="00155891">
            <w:pPr>
              <w:jc w:val="center"/>
            </w:pPr>
            <w:r>
              <w:rPr>
                <w:rFonts w:ascii="Arial" w:hAnsi="Arial"/>
                <w:color w:val="2C2C2C"/>
                <w:sz w:val="19"/>
              </w:rPr>
              <w:t>0.268</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6B9BFCA" w14:textId="77777777" w:rsidR="00593F91" w:rsidRDefault="00593F91" w:rsidP="00155891">
            <w:pPr>
              <w:jc w:val="center"/>
            </w:pPr>
            <w:r>
              <w:rPr>
                <w:rFonts w:ascii="Arial" w:hAnsi="Arial"/>
                <w:color w:val="2C2C2C"/>
                <w:sz w:val="19"/>
              </w:rPr>
              <w:t>0.181</w:t>
            </w:r>
          </w:p>
        </w:tc>
      </w:tr>
      <w:tr w:rsidR="00593F91" w14:paraId="14EFDF16"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4EF9E8B"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7A211A3" w14:textId="77777777" w:rsidR="00593F91" w:rsidRDefault="00593F91" w:rsidP="00155891">
            <w:pPr>
              <w:jc w:val="center"/>
            </w:pPr>
            <w:proofErr w:type="spellStart"/>
            <w:r>
              <w:rPr>
                <w:rFonts w:ascii="Arial" w:hAnsi="Arial"/>
                <w:b/>
                <w:color w:val="2C2C2C"/>
                <w:sz w:val="19"/>
              </w:rPr>
              <w:t>Jensen's</w:t>
            </w:r>
            <w:proofErr w:type="spellEnd"/>
            <w:r>
              <w:rPr>
                <w:rFonts w:ascii="Arial" w:hAnsi="Arial"/>
                <w:b/>
                <w:color w:val="2C2C2C"/>
                <w:sz w:val="19"/>
              </w:rPr>
              <w:t xml:space="preserve"> Alpha (α)</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F8B7D91" w14:textId="77777777" w:rsidR="00593F91" w:rsidRDefault="00593F91" w:rsidP="00155891">
            <w:pPr>
              <w:jc w:val="center"/>
            </w:pPr>
            <w:r>
              <w:rPr>
                <w:rFonts w:ascii="Arial" w:hAnsi="Arial"/>
                <w:color w:val="2C2C2C"/>
                <w:sz w:val="19"/>
              </w:rPr>
              <w:t>0.0%</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55D1E56" w14:textId="77777777" w:rsidR="00593F91" w:rsidRDefault="00593F91" w:rsidP="00155891">
            <w:pPr>
              <w:jc w:val="center"/>
            </w:pPr>
            <w:r>
              <w:rPr>
                <w:rFonts w:ascii="Arial" w:hAnsi="Arial"/>
                <w:color w:val="1A6B3A"/>
                <w:sz w:val="19"/>
              </w:rPr>
              <w:t>+17.37%</w:t>
            </w:r>
          </w:p>
        </w:tc>
        <w:tc>
          <w:tcPr>
            <w:tcW w:w="9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06189FB" w14:textId="77777777" w:rsidR="00593F91" w:rsidRDefault="00593F91" w:rsidP="00155891">
            <w:pPr>
              <w:jc w:val="center"/>
            </w:pPr>
            <w:r>
              <w:rPr>
                <w:rFonts w:ascii="Arial" w:hAnsi="Arial"/>
                <w:color w:val="2C2C2C"/>
                <w:sz w:val="19"/>
              </w:rPr>
              <w:t>—</w:t>
            </w:r>
          </w:p>
        </w:tc>
        <w:tc>
          <w:tcPr>
            <w:tcW w:w="10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8F739A1" w14:textId="77777777" w:rsidR="00593F91" w:rsidRDefault="00593F91"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F6A87FD" w14:textId="77777777" w:rsidR="00593F91" w:rsidRDefault="00593F91" w:rsidP="00155891">
            <w:pPr>
              <w:jc w:val="center"/>
            </w:pPr>
            <w:r>
              <w:rPr>
                <w:rFonts w:ascii="Arial" w:hAnsi="Arial"/>
                <w:color w:val="2C2C2C"/>
                <w:sz w:val="19"/>
              </w:rPr>
              <w:t>—</w:t>
            </w:r>
          </w:p>
        </w:tc>
      </w:tr>
      <w:tr w:rsidR="00593F91" w14:paraId="4F297B1A"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14E113A" w14:textId="77777777" w:rsidR="00593F91" w:rsidRDefault="00593F91" w:rsidP="00155891">
            <w:pPr>
              <w:jc w:val="center"/>
            </w:pPr>
            <w:r>
              <w:rPr>
                <w:rFonts w:ascii="Arial" w:hAnsi="Arial"/>
                <w:b/>
                <w:color w:val="2C2C2C"/>
                <w:sz w:val="19"/>
              </w:rPr>
              <w:t>G — Performance</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AF7CDCA" w14:textId="77777777" w:rsidR="00593F91" w:rsidRDefault="00593F91" w:rsidP="00155891">
            <w:pPr>
              <w:jc w:val="center"/>
            </w:pPr>
            <w:r>
              <w:rPr>
                <w:rFonts w:ascii="Arial" w:hAnsi="Arial"/>
                <w:b/>
                <w:color w:val="2C2C2C"/>
                <w:sz w:val="19"/>
              </w:rPr>
              <w:t>Information Ratio</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F9E918D" w14:textId="77777777" w:rsidR="00593F91" w:rsidRDefault="00593F91" w:rsidP="00155891">
            <w:pPr>
              <w:jc w:val="center"/>
            </w:pPr>
            <w:r>
              <w:rPr>
                <w:rFonts w:ascii="Arial" w:hAnsi="Arial"/>
                <w:color w:val="2C2C2C"/>
                <w:sz w:val="19"/>
              </w:rPr>
              <w:t>0.000</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142BFE4" w14:textId="77777777" w:rsidR="00593F91" w:rsidRDefault="00593F91" w:rsidP="00155891">
            <w:pPr>
              <w:jc w:val="center"/>
            </w:pPr>
            <w:r>
              <w:rPr>
                <w:rFonts w:ascii="Arial" w:hAnsi="Arial"/>
                <w:color w:val="2C2C2C"/>
                <w:sz w:val="19"/>
              </w:rPr>
              <w:t>0.855</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8C8565C" w14:textId="77777777" w:rsidR="00593F91" w:rsidRDefault="00593F91" w:rsidP="00155891">
            <w:pPr>
              <w:jc w:val="center"/>
            </w:pPr>
            <w:r>
              <w:rPr>
                <w:rFonts w:ascii="Arial" w:hAnsi="Arial"/>
                <w:color w:val="2C2C2C"/>
                <w:sz w:val="19"/>
              </w:rPr>
              <w:t>—</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8A5DAAB" w14:textId="77777777" w:rsidR="00593F91" w:rsidRDefault="00593F91"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DC2A465" w14:textId="77777777" w:rsidR="00593F91" w:rsidRDefault="00593F91" w:rsidP="00155891">
            <w:pPr>
              <w:jc w:val="center"/>
            </w:pPr>
            <w:r>
              <w:rPr>
                <w:rFonts w:ascii="Arial" w:hAnsi="Arial"/>
                <w:color w:val="2C2C2C"/>
                <w:sz w:val="19"/>
              </w:rPr>
              <w:t>—</w:t>
            </w:r>
          </w:p>
        </w:tc>
      </w:tr>
      <w:tr w:rsidR="00593F91" w14:paraId="48A0AFC7"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5646812" w14:textId="77777777" w:rsidR="00593F91" w:rsidRDefault="00593F91" w:rsidP="00155891">
            <w:pPr>
              <w:jc w:val="center"/>
            </w:pPr>
            <w:r>
              <w:rPr>
                <w:rFonts w:ascii="Arial" w:hAnsi="Arial"/>
                <w:b/>
                <w:color w:val="2C2C2C"/>
                <w:sz w:val="19"/>
              </w:rPr>
              <w:t xml:space="preserve">F — </w:t>
            </w:r>
            <w:proofErr w:type="spellStart"/>
            <w:r>
              <w:rPr>
                <w:rFonts w:ascii="Arial" w:hAnsi="Arial"/>
                <w:b/>
                <w:color w:val="2C2C2C"/>
                <w:sz w:val="19"/>
              </w:rPr>
              <w:t>Weights</w:t>
            </w:r>
            <w:proofErr w:type="spellEnd"/>
          </w:p>
        </w:tc>
        <w:tc>
          <w:tcPr>
            <w:tcW w:w="16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7F922EC" w14:textId="77777777" w:rsidR="00593F91" w:rsidRDefault="00593F91" w:rsidP="00155891">
            <w:pPr>
              <w:jc w:val="center"/>
            </w:pPr>
            <w:r>
              <w:rPr>
                <w:rFonts w:ascii="Arial" w:hAnsi="Arial"/>
                <w:b/>
                <w:color w:val="2C2C2C"/>
                <w:sz w:val="19"/>
              </w:rPr>
              <w:t>Active Pf Weight</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BBDB444" w14:textId="77777777" w:rsidR="00593F91" w:rsidRDefault="00593F91" w:rsidP="00155891">
            <w:pPr>
              <w:jc w:val="center"/>
            </w:pPr>
            <w:r>
              <w:rPr>
                <w:rFonts w:ascii="Arial" w:hAnsi="Arial"/>
                <w:color w:val="2C2C2C"/>
                <w:sz w:val="19"/>
              </w:rPr>
              <w:t>—</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7B96A33" w14:textId="77777777" w:rsidR="00593F91" w:rsidRDefault="00593F91" w:rsidP="00155891">
            <w:pPr>
              <w:jc w:val="center"/>
            </w:pPr>
            <w:r>
              <w:rPr>
                <w:rFonts w:ascii="Arial" w:hAnsi="Arial"/>
                <w:color w:val="2C2C2C"/>
                <w:sz w:val="19"/>
              </w:rPr>
              <w:t>100%</w:t>
            </w:r>
          </w:p>
        </w:tc>
        <w:tc>
          <w:tcPr>
            <w:tcW w:w="9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F2BE3AC" w14:textId="77777777" w:rsidR="00593F91" w:rsidRDefault="00593F91" w:rsidP="00155891">
            <w:pPr>
              <w:jc w:val="center"/>
            </w:pPr>
            <w:r>
              <w:rPr>
                <w:rFonts w:ascii="Arial" w:hAnsi="Arial"/>
                <w:color w:val="2C2C2C"/>
                <w:sz w:val="19"/>
              </w:rPr>
              <w:t>23.4%</w:t>
            </w:r>
          </w:p>
        </w:tc>
        <w:tc>
          <w:tcPr>
            <w:tcW w:w="10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1C9F95B" w14:textId="77777777" w:rsidR="00593F91" w:rsidRDefault="00593F91" w:rsidP="00155891">
            <w:pPr>
              <w:jc w:val="center"/>
            </w:pPr>
            <w:r>
              <w:rPr>
                <w:rFonts w:ascii="Arial" w:hAnsi="Arial"/>
                <w:color w:val="2C2C2C"/>
                <w:sz w:val="19"/>
              </w:rPr>
              <w:t>21.1%</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C6FD08E" w14:textId="77777777" w:rsidR="00593F91" w:rsidRDefault="00593F91" w:rsidP="00155891">
            <w:pPr>
              <w:jc w:val="center"/>
            </w:pPr>
            <w:r>
              <w:rPr>
                <w:rFonts w:ascii="Arial" w:hAnsi="Arial"/>
                <w:color w:val="2C2C2C"/>
                <w:sz w:val="19"/>
              </w:rPr>
              <w:t>17.8%</w:t>
            </w:r>
          </w:p>
        </w:tc>
      </w:tr>
      <w:tr w:rsidR="00593F91" w14:paraId="7AB7926B"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784371D" w14:textId="77777777" w:rsidR="00593F91" w:rsidRDefault="00593F91" w:rsidP="00155891">
            <w:pPr>
              <w:jc w:val="center"/>
            </w:pPr>
            <w:r>
              <w:rPr>
                <w:rFonts w:ascii="Arial" w:hAnsi="Arial"/>
                <w:b/>
                <w:color w:val="2C2C2C"/>
                <w:sz w:val="19"/>
              </w:rPr>
              <w:t>F — Info Ratio</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6433ADD" w14:textId="77777777" w:rsidR="00593F91" w:rsidRDefault="00593F91" w:rsidP="00155891">
            <w:pPr>
              <w:jc w:val="center"/>
            </w:pPr>
            <w:r>
              <w:rPr>
                <w:rFonts w:ascii="Arial" w:hAnsi="Arial"/>
                <w:b/>
                <w:color w:val="2C2C2C"/>
                <w:sz w:val="19"/>
              </w:rPr>
              <w:t>APIR (α/σ²e)</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C35F644" w14:textId="77777777" w:rsidR="00593F91" w:rsidRDefault="00593F91" w:rsidP="00155891">
            <w:pPr>
              <w:jc w:val="center"/>
            </w:pPr>
            <w:r>
              <w:rPr>
                <w:rFonts w:ascii="Arial" w:hAnsi="Arial"/>
                <w:color w:val="2C2C2C"/>
                <w:sz w:val="19"/>
              </w:rPr>
              <w:t>—</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D358192" w14:textId="77777777" w:rsidR="00593F91" w:rsidRDefault="00593F91" w:rsidP="00155891">
            <w:pPr>
              <w:jc w:val="center"/>
            </w:pPr>
            <w:r>
              <w:rPr>
                <w:rFonts w:ascii="Arial" w:hAnsi="Arial"/>
                <w:color w:val="2C2C2C"/>
                <w:sz w:val="19"/>
              </w:rPr>
              <w:t>13.808</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8B882FA" w14:textId="77777777" w:rsidR="00593F91" w:rsidRDefault="00593F91" w:rsidP="00155891">
            <w:pPr>
              <w:jc w:val="center"/>
            </w:pPr>
            <w:r>
              <w:rPr>
                <w:rFonts w:ascii="Arial" w:hAnsi="Arial"/>
                <w:color w:val="2C2C2C"/>
                <w:sz w:val="19"/>
              </w:rPr>
              <w:t>—</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985687E" w14:textId="77777777" w:rsidR="00593F91" w:rsidRDefault="00593F91"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E06820B" w14:textId="77777777" w:rsidR="00593F91" w:rsidRDefault="00593F91" w:rsidP="00155891">
            <w:pPr>
              <w:jc w:val="center"/>
            </w:pPr>
            <w:r>
              <w:rPr>
                <w:rFonts w:ascii="Arial" w:hAnsi="Arial"/>
                <w:color w:val="2C2C2C"/>
                <w:sz w:val="19"/>
              </w:rPr>
              <w:t>—</w:t>
            </w:r>
          </w:p>
        </w:tc>
      </w:tr>
      <w:tr w:rsidR="00593F91" w14:paraId="5F4F4D42"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F791C70" w14:textId="77777777" w:rsidR="00593F91" w:rsidRDefault="00593F91" w:rsidP="00155891">
            <w:pPr>
              <w:jc w:val="center"/>
            </w:pPr>
            <w:r>
              <w:rPr>
                <w:rFonts w:ascii="Arial" w:hAnsi="Arial"/>
                <w:b/>
                <w:color w:val="2C2C2C"/>
                <w:sz w:val="19"/>
              </w:rPr>
              <w:t>F — Info Ratio</w:t>
            </w:r>
          </w:p>
        </w:tc>
        <w:tc>
          <w:tcPr>
            <w:tcW w:w="16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444E169" w14:textId="77777777" w:rsidR="00593F91" w:rsidRDefault="00593F91" w:rsidP="00155891">
            <w:pPr>
              <w:jc w:val="center"/>
            </w:pPr>
            <w:r>
              <w:rPr>
                <w:rFonts w:ascii="Arial" w:hAnsi="Arial"/>
                <w:b/>
                <w:color w:val="2C2C2C"/>
                <w:sz w:val="19"/>
              </w:rPr>
              <w:t>IPIR (E(</w:t>
            </w:r>
            <w:proofErr w:type="spellStart"/>
            <w:r>
              <w:rPr>
                <w:rFonts w:ascii="Arial" w:hAnsi="Arial"/>
                <w:b/>
                <w:color w:val="2C2C2C"/>
                <w:sz w:val="19"/>
              </w:rPr>
              <w:t>Rm</w:t>
            </w:r>
            <w:proofErr w:type="spellEnd"/>
            <w:r>
              <w:rPr>
                <w:rFonts w:ascii="Arial" w:hAnsi="Arial"/>
                <w:b/>
                <w:color w:val="2C2C2C"/>
                <w:sz w:val="19"/>
              </w:rPr>
              <w:t>)/σ²M)</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1884233" w14:textId="77777777" w:rsidR="00593F91" w:rsidRDefault="00593F91" w:rsidP="00155891">
            <w:pPr>
              <w:jc w:val="center"/>
            </w:pPr>
            <w:r>
              <w:rPr>
                <w:rFonts w:ascii="Arial" w:hAnsi="Arial"/>
                <w:color w:val="2C2C2C"/>
                <w:sz w:val="19"/>
              </w:rPr>
              <w:t>—</w:t>
            </w:r>
          </w:p>
        </w:tc>
        <w:tc>
          <w:tcPr>
            <w:tcW w:w="144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3607C30" w14:textId="77777777" w:rsidR="00593F91" w:rsidRDefault="00593F91" w:rsidP="00155891">
            <w:pPr>
              <w:jc w:val="center"/>
            </w:pPr>
            <w:r>
              <w:rPr>
                <w:rFonts w:ascii="Arial" w:hAnsi="Arial"/>
                <w:color w:val="2C2C2C"/>
                <w:sz w:val="19"/>
              </w:rPr>
              <w:t>2.507</w:t>
            </w:r>
          </w:p>
        </w:tc>
        <w:tc>
          <w:tcPr>
            <w:tcW w:w="9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789193A" w14:textId="77777777" w:rsidR="00593F91" w:rsidRDefault="00593F91" w:rsidP="00155891">
            <w:pPr>
              <w:jc w:val="center"/>
            </w:pPr>
            <w:r>
              <w:rPr>
                <w:rFonts w:ascii="Arial" w:hAnsi="Arial"/>
                <w:color w:val="2C2C2C"/>
                <w:sz w:val="19"/>
              </w:rPr>
              <w:t>—</w:t>
            </w:r>
          </w:p>
        </w:tc>
        <w:tc>
          <w:tcPr>
            <w:tcW w:w="10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1998D1B" w14:textId="77777777" w:rsidR="00593F91" w:rsidRDefault="00593F91"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AC6FFC8" w14:textId="77777777" w:rsidR="00593F91" w:rsidRDefault="00593F91" w:rsidP="00155891">
            <w:pPr>
              <w:jc w:val="center"/>
            </w:pPr>
            <w:r>
              <w:rPr>
                <w:rFonts w:ascii="Arial" w:hAnsi="Arial"/>
                <w:color w:val="2C2C2C"/>
                <w:sz w:val="19"/>
              </w:rPr>
              <w:t>—</w:t>
            </w:r>
          </w:p>
        </w:tc>
      </w:tr>
      <w:tr w:rsidR="00593F91" w14:paraId="02114EB6" w14:textId="77777777" w:rsidTr="00593F91">
        <w:tblPrEx>
          <w:tblCellMar>
            <w:top w:w="0" w:type="dxa"/>
            <w:bottom w:w="0" w:type="dxa"/>
          </w:tblCellMar>
        </w:tblPrEx>
        <w:trPr>
          <w:jc w:val="center"/>
        </w:trPr>
        <w:tc>
          <w:tcPr>
            <w:tcW w:w="18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053C043" w14:textId="77777777" w:rsidR="00593F91" w:rsidRDefault="00593F91" w:rsidP="00155891">
            <w:pPr>
              <w:jc w:val="center"/>
            </w:pPr>
            <w:r>
              <w:rPr>
                <w:rFonts w:ascii="Arial" w:hAnsi="Arial"/>
                <w:b/>
                <w:color w:val="2C2C2C"/>
                <w:sz w:val="19"/>
              </w:rPr>
              <w:t>F — Info Ratio</w:t>
            </w:r>
          </w:p>
        </w:tc>
        <w:tc>
          <w:tcPr>
            <w:tcW w:w="16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803714E" w14:textId="77777777" w:rsidR="00593F91" w:rsidRDefault="00593F91" w:rsidP="00155891">
            <w:pPr>
              <w:jc w:val="center"/>
            </w:pPr>
            <w:proofErr w:type="spellStart"/>
            <w:r>
              <w:rPr>
                <w:rFonts w:ascii="Arial" w:hAnsi="Arial"/>
                <w:b/>
                <w:color w:val="2C2C2C"/>
                <w:sz w:val="19"/>
              </w:rPr>
              <w:t>wA</w:t>
            </w:r>
            <w:proofErr w:type="spellEnd"/>
            <w:r>
              <w:rPr>
                <w:rFonts w:ascii="Arial" w:hAnsi="Arial"/>
                <w:b/>
                <w:color w:val="2C2C2C"/>
                <w:sz w:val="19"/>
              </w:rPr>
              <w:t>(0) = APIR/IPIR</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71E8233" w14:textId="77777777" w:rsidR="00593F91" w:rsidRDefault="00593F91" w:rsidP="00155891">
            <w:pPr>
              <w:jc w:val="center"/>
            </w:pPr>
            <w:r>
              <w:rPr>
                <w:rFonts w:ascii="Arial" w:hAnsi="Arial"/>
                <w:color w:val="2C2C2C"/>
                <w:sz w:val="19"/>
              </w:rPr>
              <w:t>—</w:t>
            </w:r>
          </w:p>
        </w:tc>
        <w:tc>
          <w:tcPr>
            <w:tcW w:w="144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8759D9E" w14:textId="77777777" w:rsidR="00593F91" w:rsidRDefault="00593F91" w:rsidP="00155891">
            <w:pPr>
              <w:jc w:val="center"/>
            </w:pPr>
            <w:r>
              <w:rPr>
                <w:rFonts w:ascii="Arial" w:hAnsi="Arial"/>
                <w:color w:val="2C2C2C"/>
                <w:sz w:val="19"/>
              </w:rPr>
              <w:t>5.507</w:t>
            </w:r>
          </w:p>
        </w:tc>
        <w:tc>
          <w:tcPr>
            <w:tcW w:w="9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32C8DFE" w14:textId="77777777" w:rsidR="00593F91" w:rsidRDefault="00593F91" w:rsidP="00155891">
            <w:pPr>
              <w:jc w:val="center"/>
            </w:pPr>
            <w:r>
              <w:rPr>
                <w:rFonts w:ascii="Arial" w:hAnsi="Arial"/>
                <w:color w:val="2C2C2C"/>
                <w:sz w:val="19"/>
              </w:rPr>
              <w:t>—</w:t>
            </w:r>
          </w:p>
        </w:tc>
        <w:tc>
          <w:tcPr>
            <w:tcW w:w="10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F5009B6" w14:textId="77777777" w:rsidR="00593F91" w:rsidRDefault="00593F91"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C916D0C" w14:textId="77777777" w:rsidR="00593F91" w:rsidRDefault="00593F91" w:rsidP="00155891">
            <w:pPr>
              <w:jc w:val="center"/>
            </w:pPr>
            <w:r>
              <w:rPr>
                <w:rFonts w:ascii="Arial" w:hAnsi="Arial"/>
                <w:color w:val="2C2C2C"/>
                <w:sz w:val="19"/>
              </w:rPr>
              <w:t>—</w:t>
            </w:r>
          </w:p>
        </w:tc>
      </w:tr>
    </w:tbl>
    <w:p w14:paraId="34B15A87" w14:textId="7A9192E5" w:rsidR="000F1BB2" w:rsidRPr="00593F91" w:rsidRDefault="00593F91" w:rsidP="00593F91">
      <w:pPr>
        <w:spacing w:before="30" w:after="100"/>
        <w:jc w:val="center"/>
      </w:pPr>
      <w:r w:rsidRPr="00593F91">
        <w:rPr>
          <w:rFonts w:ascii="Arial" w:eastAsia="Arial" w:hAnsi="Arial" w:cs="Arial"/>
          <w:color w:val="666666"/>
          <w:sz w:val="17"/>
          <w:lang w:val="en-CA"/>
        </w:rPr>
        <w:t xml:space="preserve">Table </w:t>
      </w:r>
      <w:proofErr w:type="gramStart"/>
      <w:r w:rsidRPr="00593F91">
        <w:rPr>
          <w:rFonts w:ascii="Arial" w:eastAsia="Arial" w:hAnsi="Arial" w:cs="Arial"/>
          <w:color w:val="666666"/>
          <w:sz w:val="17"/>
          <w:lang w:val="en-CA"/>
        </w:rPr>
        <w:t>4.4  -</w:t>
      </w:r>
      <w:proofErr w:type="gramEnd"/>
      <w:r w:rsidRPr="00593F91">
        <w:rPr>
          <w:rFonts w:ascii="Arial" w:eastAsia="Arial" w:hAnsi="Arial" w:cs="Arial"/>
          <w:color w:val="666666"/>
          <w:sz w:val="17"/>
          <w:lang w:val="en-CA"/>
        </w:rPr>
        <w:t xml:space="preserve">  Active vs. Index Portfolio: Performance Metrics Comparison (Panel G, ACWI_index_FV.xlsx). The active portfolio achieves a Sharpe of 1.109 vs. ACWI index's </w:t>
      </w:r>
      <w:proofErr w:type="gramStart"/>
      <w:r w:rsidRPr="00593F91">
        <w:rPr>
          <w:rFonts w:ascii="Arial" w:eastAsia="Arial" w:hAnsi="Arial" w:cs="Arial"/>
          <w:color w:val="666666"/>
          <w:sz w:val="17"/>
          <w:lang w:val="en-CA"/>
        </w:rPr>
        <w:t>0.618  -</w:t>
      </w:r>
      <w:proofErr w:type="gramEnd"/>
      <w:r w:rsidRPr="00593F91">
        <w:rPr>
          <w:rFonts w:ascii="Arial" w:eastAsia="Arial" w:hAnsi="Arial" w:cs="Arial"/>
          <w:color w:val="666666"/>
          <w:sz w:val="17"/>
          <w:lang w:val="en-CA"/>
        </w:rPr>
        <w:t xml:space="preserve">  a 64% improvement in risk-adjusted return. </w:t>
      </w:r>
      <w:proofErr w:type="spellStart"/>
      <w:r>
        <w:rPr>
          <w:rFonts w:ascii="Arial" w:eastAsia="Arial" w:hAnsi="Arial" w:cs="Arial"/>
          <w:color w:val="666666"/>
          <w:sz w:val="17"/>
        </w:rPr>
        <w:t>Jensen's</w:t>
      </w:r>
      <w:proofErr w:type="spellEnd"/>
      <w:r>
        <w:rPr>
          <w:rFonts w:ascii="Arial" w:eastAsia="Arial" w:hAnsi="Arial" w:cs="Arial"/>
          <w:color w:val="666666"/>
          <w:sz w:val="17"/>
        </w:rPr>
        <w:t xml:space="preserve"> alpha of 17.37% </w:t>
      </w:r>
      <w:proofErr w:type="spellStart"/>
      <w:r>
        <w:rPr>
          <w:rFonts w:ascii="Arial" w:eastAsia="Arial" w:hAnsi="Arial" w:cs="Arial"/>
          <w:color w:val="666666"/>
          <w:sz w:val="17"/>
        </w:rPr>
        <w:t>confirms</w:t>
      </w:r>
      <w:proofErr w:type="spellEnd"/>
      <w:r>
        <w:rPr>
          <w:rFonts w:ascii="Arial" w:eastAsia="Arial" w:hAnsi="Arial" w:cs="Arial"/>
          <w:color w:val="666666"/>
          <w:sz w:val="17"/>
        </w:rPr>
        <w:t xml:space="preserve"> </w:t>
      </w:r>
      <w:proofErr w:type="spellStart"/>
      <w:r>
        <w:rPr>
          <w:rFonts w:ascii="Arial" w:eastAsia="Arial" w:hAnsi="Arial" w:cs="Arial"/>
          <w:color w:val="666666"/>
          <w:sz w:val="17"/>
        </w:rPr>
        <w:t>statistically</w:t>
      </w:r>
      <w:proofErr w:type="spellEnd"/>
      <w:r>
        <w:rPr>
          <w:rFonts w:ascii="Arial" w:eastAsia="Arial" w:hAnsi="Arial" w:cs="Arial"/>
          <w:color w:val="666666"/>
          <w:sz w:val="17"/>
        </w:rPr>
        <w:t xml:space="preserve"> </w:t>
      </w:r>
      <w:proofErr w:type="spellStart"/>
      <w:r>
        <w:rPr>
          <w:rFonts w:ascii="Arial" w:eastAsia="Arial" w:hAnsi="Arial" w:cs="Arial"/>
          <w:color w:val="666666"/>
          <w:sz w:val="17"/>
        </w:rPr>
        <w:t>meaningful</w:t>
      </w:r>
      <w:proofErr w:type="spellEnd"/>
      <w:r>
        <w:rPr>
          <w:rFonts w:ascii="Arial" w:eastAsia="Arial" w:hAnsi="Arial" w:cs="Arial"/>
          <w:color w:val="666666"/>
          <w:sz w:val="17"/>
        </w:rPr>
        <w:t xml:space="preserve"> </w:t>
      </w:r>
      <w:proofErr w:type="spellStart"/>
      <w:r>
        <w:rPr>
          <w:rFonts w:ascii="Arial" w:eastAsia="Arial" w:hAnsi="Arial" w:cs="Arial"/>
          <w:color w:val="666666"/>
          <w:sz w:val="17"/>
        </w:rPr>
        <w:t>outperformance</w:t>
      </w:r>
      <w:proofErr w:type="spellEnd"/>
      <w:r>
        <w:rPr>
          <w:rFonts w:ascii="Arial" w:eastAsia="Arial" w:hAnsi="Arial" w:cs="Arial"/>
          <w:color w:val="666666"/>
          <w:sz w:val="17"/>
        </w:rPr>
        <w:t>.</w:t>
      </w:r>
    </w:p>
    <w:p w14:paraId="0FA8322E" w14:textId="75E654BB" w:rsidR="000F1BB2" w:rsidRDefault="00593F91" w:rsidP="000F1BB2">
      <w:pPr>
        <w:spacing w:before="30" w:after="100"/>
        <w:jc w:val="left"/>
      </w:pPr>
      <w:r>
        <w:rPr>
          <w:noProof/>
        </w:rPr>
        <w:drawing>
          <wp:inline distT="0" distB="0" distL="0" distR="0" wp14:anchorId="204D8319" wp14:editId="3AF325CE">
            <wp:extent cx="6858000" cy="2204357"/>
            <wp:effectExtent l="0" t="0" r="0" b="5715"/>
            <wp:docPr id="493391788" name="Picture 49339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858000" cy="2204357"/>
                    </a:xfrm>
                    <a:prstGeom prst="rect">
                      <a:avLst/>
                    </a:prstGeom>
                  </pic:spPr>
                </pic:pic>
              </a:graphicData>
            </a:graphic>
          </wp:inline>
        </w:drawing>
      </w:r>
    </w:p>
    <w:p w14:paraId="17F2F1F0" w14:textId="6B77C897" w:rsidR="00593F91" w:rsidRPr="00593F91" w:rsidRDefault="00593F91" w:rsidP="00593F91">
      <w:pPr>
        <w:spacing w:before="30" w:after="100"/>
        <w:jc w:val="center"/>
        <w:rPr>
          <w:lang w:val="en-CA"/>
        </w:rPr>
      </w:pPr>
      <w:r w:rsidRPr="00593F91">
        <w:rPr>
          <w:rFonts w:ascii="Arial" w:eastAsia="Arial" w:hAnsi="Arial" w:cs="Arial"/>
          <w:color w:val="666666"/>
          <w:sz w:val="17"/>
          <w:lang w:val="en-CA"/>
        </w:rPr>
        <w:t xml:space="preserve">Figure </w:t>
      </w:r>
      <w:proofErr w:type="gramStart"/>
      <w:r w:rsidRPr="00593F91">
        <w:rPr>
          <w:rFonts w:ascii="Arial" w:eastAsia="Arial" w:hAnsi="Arial" w:cs="Arial"/>
          <w:color w:val="666666"/>
          <w:sz w:val="17"/>
          <w:lang w:val="en-CA"/>
        </w:rPr>
        <w:t>4.</w:t>
      </w:r>
      <w:r w:rsidR="00062122">
        <w:rPr>
          <w:rFonts w:ascii="Arial" w:eastAsia="Arial" w:hAnsi="Arial" w:cs="Arial"/>
          <w:color w:val="666666"/>
          <w:sz w:val="17"/>
          <w:lang w:val="en-CA"/>
        </w:rPr>
        <w:t>4</w:t>
      </w:r>
      <w:r w:rsidRPr="00593F91">
        <w:rPr>
          <w:rFonts w:ascii="Arial" w:eastAsia="Arial" w:hAnsi="Arial" w:cs="Arial"/>
          <w:color w:val="666666"/>
          <w:sz w:val="17"/>
          <w:lang w:val="en-CA"/>
        </w:rPr>
        <w:t xml:space="preserve">  -</w:t>
      </w:r>
      <w:proofErr w:type="gramEnd"/>
      <w:r w:rsidRPr="00593F91">
        <w:rPr>
          <w:rFonts w:ascii="Arial" w:eastAsia="Arial" w:hAnsi="Arial" w:cs="Arial"/>
          <w:color w:val="666666"/>
          <w:sz w:val="17"/>
          <w:lang w:val="en-CA"/>
        </w:rPr>
        <w:t xml:space="preserve">  Performance Metrics Dashboard: Sharpe ratios (left), adjusted alphas per security (centre), and portfolio-level performance summary (right). MLI (Sharpe 1.083) and PWR (Sharpe 1.204) are the primary Sharpe contributors. Source: Data. Securities &amp; Security Allocation sheets, ACWI_index_FV.xlsx.</w:t>
      </w:r>
    </w:p>
    <w:p w14:paraId="65953704" w14:textId="78398660" w:rsidR="000F1BB2" w:rsidRDefault="00593F91" w:rsidP="000F1BB2">
      <w:pPr>
        <w:spacing w:before="30" w:after="100"/>
        <w:jc w:val="left"/>
      </w:pPr>
      <w:r>
        <w:rPr>
          <w:noProof/>
        </w:rPr>
        <w:lastRenderedPageBreak/>
        <w:drawing>
          <wp:inline distT="0" distB="0" distL="0" distR="0" wp14:anchorId="51E50D2E" wp14:editId="53B2B8DE">
            <wp:extent cx="6858000" cy="2905648"/>
            <wp:effectExtent l="0" t="0" r="0" b="3175"/>
            <wp:docPr id="1791877914" name="Picture 179187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6858000" cy="2905648"/>
                    </a:xfrm>
                    <a:prstGeom prst="rect">
                      <a:avLst/>
                    </a:prstGeom>
                  </pic:spPr>
                </pic:pic>
              </a:graphicData>
            </a:graphic>
          </wp:inline>
        </w:drawing>
      </w:r>
    </w:p>
    <w:p w14:paraId="7F52C86A" w14:textId="7A2794B9" w:rsidR="000F1BB2" w:rsidRPr="00416C21" w:rsidRDefault="00593F91" w:rsidP="00593F91">
      <w:pPr>
        <w:spacing w:before="30" w:after="100"/>
        <w:jc w:val="center"/>
        <w:rPr>
          <w:lang w:val="en-CA"/>
        </w:rPr>
      </w:pPr>
      <w:r w:rsidRPr="00593F91">
        <w:rPr>
          <w:rFonts w:ascii="Arial" w:eastAsia="Arial" w:hAnsi="Arial" w:cs="Arial"/>
          <w:color w:val="666666"/>
          <w:sz w:val="17"/>
          <w:lang w:val="en-CA"/>
        </w:rPr>
        <w:t xml:space="preserve">Figure </w:t>
      </w:r>
      <w:proofErr w:type="gramStart"/>
      <w:r w:rsidRPr="00593F91">
        <w:rPr>
          <w:rFonts w:ascii="Arial" w:eastAsia="Arial" w:hAnsi="Arial" w:cs="Arial"/>
          <w:color w:val="666666"/>
          <w:sz w:val="17"/>
          <w:lang w:val="en-CA"/>
        </w:rPr>
        <w:t>4.</w:t>
      </w:r>
      <w:r w:rsidR="00062122">
        <w:rPr>
          <w:rFonts w:ascii="Arial" w:eastAsia="Arial" w:hAnsi="Arial" w:cs="Arial"/>
          <w:color w:val="666666"/>
          <w:sz w:val="17"/>
          <w:lang w:val="en-CA"/>
        </w:rPr>
        <w:t>5</w:t>
      </w:r>
      <w:r w:rsidRPr="00593F91">
        <w:rPr>
          <w:rFonts w:ascii="Arial" w:eastAsia="Arial" w:hAnsi="Arial" w:cs="Arial"/>
          <w:color w:val="666666"/>
          <w:sz w:val="17"/>
          <w:lang w:val="en-CA"/>
        </w:rPr>
        <w:t xml:space="preserve">  -</w:t>
      </w:r>
      <w:proofErr w:type="gramEnd"/>
      <w:r w:rsidRPr="00593F91">
        <w:rPr>
          <w:rFonts w:ascii="Arial" w:eastAsia="Arial" w:hAnsi="Arial" w:cs="Arial"/>
          <w:color w:val="666666"/>
          <w:sz w:val="17"/>
          <w:lang w:val="en-CA"/>
        </w:rPr>
        <w:t xml:space="preserve">  Final Portfolio Allocation: Capital split (left) and active equity sleeve stock weights (right). 44.31% in TLT provides the conservative buffer; within the 55.69% equity sleeve, SBGSY leads at 36.9% of active weights. Source: Capital Allocation &amp; Security Allocation sheets, ACWI_index_FV.xlsx</w:t>
      </w:r>
      <w:r>
        <w:rPr>
          <w:rFonts w:ascii="Arial" w:eastAsia="Arial" w:hAnsi="Arial" w:cs="Arial"/>
          <w:color w:val="666666"/>
          <w:sz w:val="17"/>
          <w:lang w:val="en-CA"/>
        </w:rPr>
        <w:t>.</w:t>
      </w:r>
    </w:p>
    <w:p w14:paraId="10962372" w14:textId="0D784D56" w:rsidR="00013B8D" w:rsidRDefault="00013B8D" w:rsidP="00013B8D">
      <w:pPr>
        <w:pStyle w:val="Heading3"/>
      </w:pPr>
      <w:bookmarkStart w:id="34" w:name="_Toc227618170"/>
      <w:r>
        <w:t>4.7 Statistical Significance of Alpha Estimates: P-Value Analysis</w:t>
      </w:r>
      <w:bookmarkEnd w:id="34"/>
    </w:p>
    <w:p w14:paraId="5EE71747" w14:textId="58522936" w:rsidR="00013B8D" w:rsidRDefault="00013B8D" w:rsidP="00013B8D">
      <w:pPr>
        <w:pStyle w:val="Heading2"/>
      </w:pPr>
      <w:bookmarkStart w:id="35" w:name="_Toc227618171"/>
      <w:r w:rsidRPr="00013B8D">
        <w:t>This section provides an in-depth examination of the statistical reliability of each stock's alpha estimate. Four of the seven active positions</w:t>
      </w:r>
      <w:r>
        <w:t xml:space="preserve">: </w:t>
      </w:r>
      <w:r w:rsidRPr="00013B8D">
        <w:t>ETN, AEP, SBGSY, and HUBB</w:t>
      </w:r>
      <w:r>
        <w:t>,</w:t>
      </w:r>
      <w:r w:rsidRPr="00013B8D">
        <w:t xml:space="preserve"> have regression intercept p-values ABOVE 10%, meaning their estimated alphas are NOT statistically distinguishable from zero at conventional significance thresholds. This has important implications for position sizing, monitoring, and risk management.</w:t>
      </w:r>
      <w:bookmarkEnd w:id="35"/>
    </w:p>
    <w:p w14:paraId="3B0029FC" w14:textId="6E237AD1" w:rsidR="00013B8D" w:rsidRDefault="00013B8D" w:rsidP="00013B8D">
      <w:pPr>
        <w:rPr>
          <w:lang w:val="en-CA"/>
        </w:rPr>
      </w:pPr>
      <w:r w:rsidRPr="00013B8D">
        <w:rPr>
          <w:lang w:val="en-CA"/>
        </w:rPr>
        <w:t>The Treynor-Black model weights each active security in proportion to its alpha-to-residual-variance ratio. Because the alpha estimates used as inputs are themselves subject to estimation error, the statistical significance of each estimate</w:t>
      </w:r>
      <w:r>
        <w:rPr>
          <w:lang w:val="en-CA"/>
        </w:rPr>
        <w:t xml:space="preserve">, </w:t>
      </w:r>
      <w:r w:rsidRPr="00013B8D">
        <w:rPr>
          <w:lang w:val="en-CA"/>
        </w:rPr>
        <w:t>measured by the regression intercept p-value</w:t>
      </w:r>
      <w:r>
        <w:rPr>
          <w:lang w:val="en-CA"/>
        </w:rPr>
        <w:t xml:space="preserve">, </w:t>
      </w:r>
      <w:r w:rsidRPr="00013B8D">
        <w:rPr>
          <w:lang w:val="en-CA"/>
        </w:rPr>
        <w:t>is critical to assessing whether the portfolio weights are genuinely optimal or partially driven by noise.</w:t>
      </w:r>
    </w:p>
    <w:p w14:paraId="3ECB9D2B" w14:textId="6CFB9DE8" w:rsidR="00013B8D" w:rsidRDefault="00013B8D" w:rsidP="00013B8D">
      <w:pPr>
        <w:pStyle w:val="Heading4"/>
      </w:pPr>
      <w:r>
        <w:t>4.7.1 What the P-Values Mean</w:t>
      </w:r>
    </w:p>
    <w:p w14:paraId="28B6E91E" w14:textId="77777777" w:rsidR="00013B8D" w:rsidRDefault="00013B8D" w:rsidP="00013B8D">
      <w:pPr>
        <w:rPr>
          <w:lang w:val="en-CA"/>
        </w:rPr>
      </w:pPr>
      <w:r w:rsidRPr="00013B8D">
        <w:rPr>
          <w:lang w:val="en-CA"/>
        </w:rPr>
        <w:t>For each security, the Single Index Model was estimated by regressing 60 months of excess returns on the ACWI benchmark excess return. The intercept of this regression is the estimated raw alpha. The p-value of the intercept tests the null hypothesis that the true alpha is zero — i.e., that the stock generates no firm-specific return after accounting for market exposure.</w:t>
      </w:r>
    </w:p>
    <w:p w14:paraId="6552D7EE" w14:textId="77777777" w:rsidR="00013B8D" w:rsidRDefault="00013B8D" w:rsidP="00013B8D">
      <w:pPr>
        <w:pStyle w:val="ListParagraph"/>
        <w:numPr>
          <w:ilvl w:val="0"/>
          <w:numId w:val="8"/>
        </w:numPr>
      </w:pPr>
      <w:r w:rsidRPr="00013B8D">
        <w:t>A p-value BELOW 5% (significant): We can reject the null hypothesis at 95% confidence; alpha is</w:t>
      </w:r>
      <w:r w:rsidRPr="00013B8D">
        <w:t xml:space="preserve"> </w:t>
      </w:r>
      <w:r w:rsidRPr="00013B8D">
        <w:t>statistically distinct from zero.</w:t>
      </w:r>
    </w:p>
    <w:p w14:paraId="05175D2C" w14:textId="77777777" w:rsidR="00013B8D" w:rsidRDefault="00013B8D" w:rsidP="00013B8D">
      <w:pPr>
        <w:pStyle w:val="ListParagraph"/>
        <w:numPr>
          <w:ilvl w:val="0"/>
          <w:numId w:val="8"/>
        </w:numPr>
      </w:pPr>
      <w:r w:rsidRPr="00013B8D">
        <w:t>A p-value BETWEEN 5% AND 10% (marginal): Weak evidence; alpha estimate is plausible but not robust.</w:t>
      </w:r>
    </w:p>
    <w:p w14:paraId="2E16418F" w14:textId="37FD223D" w:rsidR="00013B8D" w:rsidRPr="00013B8D" w:rsidRDefault="00013B8D" w:rsidP="00013B8D">
      <w:pPr>
        <w:pStyle w:val="ListParagraph"/>
        <w:numPr>
          <w:ilvl w:val="0"/>
          <w:numId w:val="8"/>
        </w:numPr>
      </w:pPr>
      <w:r w:rsidRPr="00013B8D">
        <w:t>A p-value ABOVE 10% (NOT significant): We cannot reject the null hypothesis; the estimated alpha may be statistical noise rather than a genuine signal.</w:t>
      </w:r>
    </w:p>
    <w:p w14:paraId="080F6331" w14:textId="6D718218" w:rsidR="00013B8D" w:rsidRDefault="00013B8D" w:rsidP="00013B8D">
      <w:pPr>
        <w:rPr>
          <w:lang w:val="en-CA"/>
        </w:rPr>
      </w:pPr>
      <w:r w:rsidRPr="00013B8D">
        <w:rPr>
          <w:lang w:val="en-CA"/>
        </w:rPr>
        <w:t>Critically, a high p-value does not mean the true alpha is zero</w:t>
      </w:r>
      <w:r>
        <w:rPr>
          <w:lang w:val="en-CA"/>
        </w:rPr>
        <w:t>,</w:t>
      </w:r>
      <w:r w:rsidRPr="00013B8D">
        <w:rPr>
          <w:lang w:val="en-CA"/>
        </w:rPr>
        <w:t xml:space="preserve"> it means our data is insufficient to distinguish alpha from zero. The estimate may still be our best point estimate, but the confidence interval around it is too wide to conclude the stock genuinely outperforms on a risk-adjusted basis.</w:t>
      </w:r>
    </w:p>
    <w:p w14:paraId="491DF831" w14:textId="77777777" w:rsidR="00175B2B" w:rsidRDefault="00175B2B" w:rsidP="00E369CA">
      <w:pPr>
        <w:pStyle w:val="Heading4"/>
      </w:pPr>
    </w:p>
    <w:p w14:paraId="5B9390B9" w14:textId="77777777" w:rsidR="00175B2B" w:rsidRDefault="00175B2B" w:rsidP="00E369CA">
      <w:pPr>
        <w:pStyle w:val="Heading4"/>
      </w:pPr>
    </w:p>
    <w:p w14:paraId="171FFACB" w14:textId="6BD1681A" w:rsidR="00E369CA" w:rsidRDefault="00E369CA" w:rsidP="00E369CA">
      <w:pPr>
        <w:pStyle w:val="Heading4"/>
      </w:pPr>
      <w:proofErr w:type="gramStart"/>
      <w:r w:rsidRPr="00E369CA">
        <w:t>4.7.2  P</w:t>
      </w:r>
      <w:proofErr w:type="gramEnd"/>
      <w:r w:rsidRPr="00E369CA">
        <w:t>-Value Results for All 7 Active Positions</w:t>
      </w:r>
    </w:p>
    <w:p w14:paraId="3C7B4E82" w14:textId="09553681" w:rsidR="00E369CA" w:rsidRDefault="00E369CA" w:rsidP="00E369CA">
      <w:pPr>
        <w:rPr>
          <w:lang w:val="en-CA"/>
        </w:rPr>
      </w:pPr>
      <w:r w:rsidRPr="00E369CA">
        <w:rPr>
          <w:lang w:val="en-CA"/>
        </w:rPr>
        <w:t>The following table presents the full regression intercept p-value for each stock, alongside the significance classification:</w:t>
      </w:r>
    </w:p>
    <w:p w14:paraId="3CB81487" w14:textId="77777777" w:rsidR="00E369CA" w:rsidRPr="00E369CA" w:rsidRDefault="00E369CA" w:rsidP="00E369CA">
      <w:pPr>
        <w:rPr>
          <w:lang w:val="en-CA"/>
        </w:rPr>
      </w:pPr>
    </w:p>
    <w:tbl>
      <w:tblPr>
        <w:tblW w:w="9360" w:type="dxa"/>
        <w:jc w:val="center"/>
        <w:tblCellMar>
          <w:left w:w="10" w:type="dxa"/>
          <w:right w:w="10" w:type="dxa"/>
        </w:tblCellMar>
        <w:tblLook w:val="04A0" w:firstRow="1" w:lastRow="0" w:firstColumn="1" w:lastColumn="0" w:noHBand="0" w:noVBand="1"/>
      </w:tblPr>
      <w:tblGrid>
        <w:gridCol w:w="1500"/>
        <w:gridCol w:w="2600"/>
        <w:gridCol w:w="1400"/>
        <w:gridCol w:w="1400"/>
        <w:gridCol w:w="1400"/>
        <w:gridCol w:w="1060"/>
      </w:tblGrid>
      <w:tr w:rsidR="00013B8D" w14:paraId="3C55CD7C" w14:textId="77777777" w:rsidTr="00013B8D">
        <w:tblPrEx>
          <w:tblCellMar>
            <w:top w:w="0" w:type="dxa"/>
            <w:bottom w:w="0" w:type="dxa"/>
          </w:tblCellMar>
        </w:tblPrEx>
        <w:trPr>
          <w:jc w:val="center"/>
        </w:trPr>
        <w:tc>
          <w:tcPr>
            <w:tcW w:w="15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44B6C50" w14:textId="77777777" w:rsidR="00013B8D" w:rsidRDefault="00013B8D" w:rsidP="00155891">
            <w:pPr>
              <w:jc w:val="center"/>
            </w:pPr>
            <w:r>
              <w:rPr>
                <w:rFonts w:ascii="Arial" w:hAnsi="Arial"/>
                <w:b/>
                <w:color w:val="FFFFFF"/>
                <w:sz w:val="18"/>
              </w:rPr>
              <w:t>Ticker</w:t>
            </w:r>
          </w:p>
        </w:tc>
        <w:tc>
          <w:tcPr>
            <w:tcW w:w="26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C870DA7" w14:textId="77777777" w:rsidR="00013B8D" w:rsidRDefault="00013B8D" w:rsidP="00155891">
            <w:pPr>
              <w:jc w:val="center"/>
            </w:pPr>
            <w:r>
              <w:rPr>
                <w:rFonts w:ascii="Arial" w:hAnsi="Arial"/>
                <w:b/>
                <w:color w:val="FFFFFF"/>
                <w:sz w:val="18"/>
              </w:rPr>
              <w:t>Company</w:t>
            </w:r>
          </w:p>
        </w:tc>
        <w:tc>
          <w:tcPr>
            <w:tcW w:w="14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1423C2A5" w14:textId="77777777" w:rsidR="00013B8D" w:rsidRDefault="00013B8D" w:rsidP="00155891">
            <w:pPr>
              <w:jc w:val="center"/>
            </w:pPr>
            <w:r>
              <w:rPr>
                <w:rFonts w:ascii="Arial" w:hAnsi="Arial"/>
                <w:b/>
                <w:color w:val="FFFFFF"/>
                <w:sz w:val="18"/>
              </w:rPr>
              <w:t>Adj. α</w:t>
            </w:r>
          </w:p>
        </w:tc>
        <w:tc>
          <w:tcPr>
            <w:tcW w:w="14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AEEFAE6" w14:textId="77777777" w:rsidR="00013B8D" w:rsidRDefault="00013B8D" w:rsidP="00155891">
            <w:pPr>
              <w:jc w:val="center"/>
            </w:pPr>
            <w:r>
              <w:rPr>
                <w:rFonts w:ascii="Arial" w:hAnsi="Arial"/>
                <w:b/>
                <w:color w:val="FFFFFF"/>
                <w:sz w:val="18"/>
              </w:rPr>
              <w:t>Alpha P-Value</w:t>
            </w:r>
          </w:p>
        </w:tc>
        <w:tc>
          <w:tcPr>
            <w:tcW w:w="14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7D1C23EA" w14:textId="77777777" w:rsidR="00013B8D" w:rsidRDefault="00013B8D" w:rsidP="00155891">
            <w:pPr>
              <w:jc w:val="center"/>
            </w:pPr>
            <w:proofErr w:type="spellStart"/>
            <w:r>
              <w:rPr>
                <w:rFonts w:ascii="Arial" w:hAnsi="Arial"/>
                <w:b/>
                <w:color w:val="FFFFFF"/>
                <w:sz w:val="18"/>
              </w:rPr>
              <w:t>Significance</w:t>
            </w:r>
            <w:proofErr w:type="spellEnd"/>
          </w:p>
        </w:tc>
        <w:tc>
          <w:tcPr>
            <w:tcW w:w="106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B9ACA75" w14:textId="77777777" w:rsidR="00013B8D" w:rsidRDefault="00013B8D" w:rsidP="00155891">
            <w:pPr>
              <w:jc w:val="center"/>
            </w:pPr>
            <w:proofErr w:type="spellStart"/>
            <w:r>
              <w:rPr>
                <w:rFonts w:ascii="Arial" w:hAnsi="Arial"/>
                <w:b/>
                <w:color w:val="FFFFFF"/>
                <w:sz w:val="18"/>
              </w:rPr>
              <w:t>Threshold</w:t>
            </w:r>
            <w:proofErr w:type="spellEnd"/>
          </w:p>
        </w:tc>
      </w:tr>
      <w:tr w:rsidR="00013B8D" w14:paraId="4E08D93E"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2B8E5DD" w14:textId="77777777" w:rsidR="00013B8D" w:rsidRDefault="00013B8D" w:rsidP="00155891">
            <w:pPr>
              <w:jc w:val="center"/>
            </w:pPr>
            <w:r>
              <w:rPr>
                <w:rFonts w:ascii="Arial" w:hAnsi="Arial"/>
                <w:b/>
                <w:color w:val="2C2C2C"/>
                <w:sz w:val="19"/>
              </w:rPr>
              <w:t>PWR</w:t>
            </w:r>
          </w:p>
        </w:tc>
        <w:tc>
          <w:tcPr>
            <w:tcW w:w="2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A5724A1" w14:textId="77777777" w:rsidR="00013B8D" w:rsidRDefault="00013B8D" w:rsidP="00155891">
            <w:pPr>
              <w:jc w:val="center"/>
            </w:pPr>
            <w:r>
              <w:rPr>
                <w:rFonts w:ascii="Arial" w:hAnsi="Arial"/>
                <w:color w:val="2C2C2C"/>
                <w:sz w:val="19"/>
              </w:rPr>
              <w:t>Quanta Services</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C250A0F" w14:textId="77777777" w:rsidR="00013B8D" w:rsidRDefault="00013B8D" w:rsidP="00155891">
            <w:pPr>
              <w:jc w:val="center"/>
            </w:pPr>
            <w:r>
              <w:rPr>
                <w:rFonts w:ascii="Arial" w:hAnsi="Arial"/>
                <w:color w:val="2C2C2C"/>
                <w:sz w:val="19"/>
              </w:rPr>
              <w:t>+13.28%</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3FFA590" w14:textId="77777777" w:rsidR="00013B8D" w:rsidRDefault="00013B8D" w:rsidP="00155891">
            <w:pPr>
              <w:jc w:val="center"/>
            </w:pPr>
            <w:r>
              <w:rPr>
                <w:rFonts w:ascii="Arial" w:hAnsi="Arial"/>
                <w:b/>
                <w:color w:val="1A6B3A"/>
                <w:sz w:val="19"/>
              </w:rPr>
              <w:t>0.83%</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17F3D10" w14:textId="77777777" w:rsidR="00013B8D" w:rsidRDefault="00013B8D" w:rsidP="00155891">
            <w:pPr>
              <w:jc w:val="center"/>
            </w:pPr>
            <w:proofErr w:type="spellStart"/>
            <w:r>
              <w:rPr>
                <w:rFonts w:ascii="Arial" w:hAnsi="Arial"/>
                <w:b/>
                <w:color w:val="1A6B3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95647B0" w14:textId="77777777" w:rsidR="00013B8D" w:rsidRDefault="00013B8D" w:rsidP="00155891">
            <w:pPr>
              <w:jc w:val="center"/>
            </w:pPr>
            <w:r>
              <w:rPr>
                <w:rFonts w:ascii="Arial" w:hAnsi="Arial"/>
                <w:color w:val="2C2C2C"/>
                <w:sz w:val="19"/>
              </w:rPr>
              <w:t>&lt;5%</w:t>
            </w:r>
          </w:p>
        </w:tc>
      </w:tr>
      <w:tr w:rsidR="00013B8D" w14:paraId="65843B3C"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4830E9B" w14:textId="77777777" w:rsidR="00013B8D" w:rsidRDefault="00013B8D" w:rsidP="00155891">
            <w:pPr>
              <w:jc w:val="center"/>
            </w:pPr>
            <w:r>
              <w:rPr>
                <w:rFonts w:ascii="Arial" w:hAnsi="Arial"/>
                <w:b/>
                <w:color w:val="2C2C2C"/>
                <w:sz w:val="19"/>
              </w:rPr>
              <w:t>ETN</w:t>
            </w:r>
          </w:p>
        </w:tc>
        <w:tc>
          <w:tcPr>
            <w:tcW w:w="26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72D421D4" w14:textId="77777777" w:rsidR="00013B8D" w:rsidRDefault="00013B8D" w:rsidP="00155891">
            <w:pPr>
              <w:jc w:val="center"/>
            </w:pPr>
            <w:r>
              <w:rPr>
                <w:rFonts w:ascii="Arial" w:hAnsi="Arial"/>
                <w:color w:val="2C2C2C"/>
                <w:sz w:val="19"/>
              </w:rPr>
              <w:t>Eaton Corporation</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F22B3D5" w14:textId="77777777" w:rsidR="00013B8D" w:rsidRDefault="00013B8D" w:rsidP="00155891">
            <w:pPr>
              <w:jc w:val="center"/>
            </w:pPr>
            <w:r>
              <w:rPr>
                <w:rFonts w:ascii="Arial" w:hAnsi="Arial"/>
                <w:color w:val="2C2C2C"/>
                <w:sz w:val="19"/>
              </w:rPr>
              <w:t>+8.58%</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0159C8ED" w14:textId="77777777" w:rsidR="00013B8D" w:rsidRDefault="00013B8D" w:rsidP="00155891">
            <w:pPr>
              <w:jc w:val="center"/>
            </w:pPr>
            <w:r>
              <w:rPr>
                <w:rFonts w:ascii="Arial" w:hAnsi="Arial"/>
                <w:b/>
                <w:color w:val="8B1A1A"/>
                <w:sz w:val="19"/>
              </w:rPr>
              <w:t>12.79%</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6C7DD7B4" w14:textId="77777777" w:rsidR="00013B8D" w:rsidRDefault="00013B8D" w:rsidP="00155891">
            <w:pPr>
              <w:jc w:val="center"/>
            </w:pPr>
            <w:r>
              <w:rPr>
                <w:rFonts w:ascii="Arial" w:hAnsi="Arial"/>
                <w:b/>
                <w:color w:val="8B1A1A"/>
                <w:sz w:val="19"/>
              </w:rPr>
              <w:t xml:space="preserve">NOT </w:t>
            </w:r>
            <w:proofErr w:type="spellStart"/>
            <w:r>
              <w:rPr>
                <w:rFonts w:ascii="Arial" w:hAnsi="Arial"/>
                <w:b/>
                <w:color w:val="8B1A1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32C909A8" w14:textId="77777777" w:rsidR="00013B8D" w:rsidRDefault="00013B8D" w:rsidP="00155891">
            <w:pPr>
              <w:jc w:val="center"/>
            </w:pPr>
            <w:r>
              <w:rPr>
                <w:rFonts w:ascii="Arial" w:hAnsi="Arial"/>
                <w:color w:val="2C2C2C"/>
                <w:sz w:val="19"/>
              </w:rPr>
              <w:t>&gt;10%</w:t>
            </w:r>
          </w:p>
        </w:tc>
      </w:tr>
      <w:tr w:rsidR="00013B8D" w14:paraId="101C42C6"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1CE15865" w14:textId="77777777" w:rsidR="00013B8D" w:rsidRDefault="00013B8D" w:rsidP="00155891">
            <w:pPr>
              <w:jc w:val="center"/>
            </w:pPr>
            <w:r>
              <w:rPr>
                <w:rFonts w:ascii="Arial" w:hAnsi="Arial"/>
                <w:b/>
                <w:color w:val="2C2C2C"/>
                <w:sz w:val="19"/>
              </w:rPr>
              <w:t>AEP</w:t>
            </w:r>
          </w:p>
        </w:tc>
        <w:tc>
          <w:tcPr>
            <w:tcW w:w="26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0C08EE3D" w14:textId="77777777" w:rsidR="00013B8D" w:rsidRDefault="00013B8D" w:rsidP="00155891">
            <w:pPr>
              <w:jc w:val="center"/>
            </w:pPr>
            <w:r>
              <w:rPr>
                <w:rFonts w:ascii="Arial" w:hAnsi="Arial"/>
                <w:color w:val="2C2C2C"/>
                <w:sz w:val="19"/>
              </w:rPr>
              <w:t>Am. Electric Power</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DA861F1" w14:textId="77777777" w:rsidR="00013B8D" w:rsidRDefault="00013B8D" w:rsidP="00155891">
            <w:pPr>
              <w:jc w:val="center"/>
            </w:pPr>
            <w:r>
              <w:rPr>
                <w:rFonts w:ascii="Arial" w:hAnsi="Arial"/>
                <w:color w:val="2C2C2C"/>
                <w:sz w:val="19"/>
              </w:rPr>
              <w:t>+2.61%</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FC234D7" w14:textId="77777777" w:rsidR="00013B8D" w:rsidRDefault="00013B8D" w:rsidP="00155891">
            <w:pPr>
              <w:jc w:val="center"/>
            </w:pPr>
            <w:r>
              <w:rPr>
                <w:rFonts w:ascii="Arial" w:hAnsi="Arial"/>
                <w:b/>
                <w:color w:val="8B1A1A"/>
                <w:sz w:val="19"/>
              </w:rPr>
              <w:t>69.73%</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6871F139" w14:textId="77777777" w:rsidR="00013B8D" w:rsidRDefault="00013B8D" w:rsidP="00155891">
            <w:pPr>
              <w:jc w:val="center"/>
            </w:pPr>
            <w:r>
              <w:rPr>
                <w:rFonts w:ascii="Arial" w:hAnsi="Arial"/>
                <w:b/>
                <w:color w:val="8B1A1A"/>
                <w:sz w:val="19"/>
              </w:rPr>
              <w:t xml:space="preserve">NOT </w:t>
            </w:r>
            <w:proofErr w:type="spellStart"/>
            <w:r>
              <w:rPr>
                <w:rFonts w:ascii="Arial" w:hAnsi="Arial"/>
                <w:b/>
                <w:color w:val="8B1A1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763FFEBB" w14:textId="77777777" w:rsidR="00013B8D" w:rsidRDefault="00013B8D" w:rsidP="00155891">
            <w:pPr>
              <w:jc w:val="center"/>
            </w:pPr>
            <w:r>
              <w:rPr>
                <w:rFonts w:ascii="Arial" w:hAnsi="Arial"/>
                <w:color w:val="2C2C2C"/>
                <w:sz w:val="19"/>
              </w:rPr>
              <w:t>&gt;10%</w:t>
            </w:r>
          </w:p>
        </w:tc>
      </w:tr>
      <w:tr w:rsidR="00013B8D" w14:paraId="6D99C9E3"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273A5C8E" w14:textId="77777777" w:rsidR="00013B8D" w:rsidRDefault="00013B8D" w:rsidP="00155891">
            <w:pPr>
              <w:jc w:val="center"/>
            </w:pPr>
            <w:r>
              <w:rPr>
                <w:rFonts w:ascii="Arial" w:hAnsi="Arial"/>
                <w:b/>
                <w:color w:val="2C2C2C"/>
                <w:sz w:val="19"/>
              </w:rPr>
              <w:t>SBGSY</w:t>
            </w:r>
          </w:p>
        </w:tc>
        <w:tc>
          <w:tcPr>
            <w:tcW w:w="26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04FD7706" w14:textId="77777777" w:rsidR="00013B8D" w:rsidRDefault="00013B8D" w:rsidP="00155891">
            <w:pPr>
              <w:jc w:val="center"/>
            </w:pPr>
            <w:r>
              <w:rPr>
                <w:rFonts w:ascii="Arial" w:hAnsi="Arial"/>
                <w:color w:val="2C2C2C"/>
                <w:sz w:val="19"/>
              </w:rPr>
              <w:t>Schneider Electric</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0ACBE6F1" w14:textId="77777777" w:rsidR="00013B8D" w:rsidRDefault="00013B8D" w:rsidP="00155891">
            <w:pPr>
              <w:jc w:val="center"/>
            </w:pPr>
            <w:r>
              <w:rPr>
                <w:rFonts w:ascii="Arial" w:hAnsi="Arial"/>
                <w:color w:val="2C2C2C"/>
                <w:sz w:val="19"/>
              </w:rPr>
              <w:t>+9.10%</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B676326" w14:textId="77777777" w:rsidR="00013B8D" w:rsidRDefault="00013B8D" w:rsidP="00155891">
            <w:pPr>
              <w:jc w:val="center"/>
            </w:pPr>
            <w:r>
              <w:rPr>
                <w:rFonts w:ascii="Arial" w:hAnsi="Arial"/>
                <w:b/>
                <w:color w:val="8B1A1A"/>
                <w:sz w:val="19"/>
              </w:rPr>
              <w:t>36.35%</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58537A1A" w14:textId="77777777" w:rsidR="00013B8D" w:rsidRDefault="00013B8D" w:rsidP="00155891">
            <w:pPr>
              <w:jc w:val="center"/>
            </w:pPr>
            <w:r>
              <w:rPr>
                <w:rFonts w:ascii="Arial" w:hAnsi="Arial"/>
                <w:b/>
                <w:color w:val="8B1A1A"/>
                <w:sz w:val="19"/>
              </w:rPr>
              <w:t xml:space="preserve">NOT </w:t>
            </w:r>
            <w:proofErr w:type="spellStart"/>
            <w:r>
              <w:rPr>
                <w:rFonts w:ascii="Arial" w:hAnsi="Arial"/>
                <w:b/>
                <w:color w:val="8B1A1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1580145C" w14:textId="77777777" w:rsidR="00013B8D" w:rsidRDefault="00013B8D" w:rsidP="00155891">
            <w:pPr>
              <w:jc w:val="center"/>
            </w:pPr>
            <w:r>
              <w:rPr>
                <w:rFonts w:ascii="Arial" w:hAnsi="Arial"/>
                <w:color w:val="2C2C2C"/>
                <w:sz w:val="19"/>
              </w:rPr>
              <w:t>&gt;10%</w:t>
            </w:r>
          </w:p>
        </w:tc>
      </w:tr>
      <w:tr w:rsidR="00013B8D" w14:paraId="2A825252"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FE2F9B5" w14:textId="77777777" w:rsidR="00013B8D" w:rsidRDefault="00013B8D" w:rsidP="00155891">
            <w:pPr>
              <w:jc w:val="center"/>
            </w:pPr>
            <w:r>
              <w:rPr>
                <w:rFonts w:ascii="Arial" w:hAnsi="Arial"/>
                <w:b/>
                <w:color w:val="2C2C2C"/>
                <w:sz w:val="19"/>
              </w:rPr>
              <w:t>NVT</w:t>
            </w:r>
          </w:p>
        </w:tc>
        <w:tc>
          <w:tcPr>
            <w:tcW w:w="2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1927258" w14:textId="77777777" w:rsidR="00013B8D" w:rsidRDefault="00013B8D" w:rsidP="00155891">
            <w:pPr>
              <w:jc w:val="center"/>
            </w:pPr>
            <w:proofErr w:type="spellStart"/>
            <w:r>
              <w:rPr>
                <w:rFonts w:ascii="Arial" w:hAnsi="Arial"/>
                <w:color w:val="2C2C2C"/>
                <w:sz w:val="19"/>
              </w:rPr>
              <w:t>nVent</w:t>
            </w:r>
            <w:proofErr w:type="spellEnd"/>
            <w:r>
              <w:rPr>
                <w:rFonts w:ascii="Arial" w:hAnsi="Arial"/>
                <w:color w:val="2C2C2C"/>
                <w:sz w:val="19"/>
              </w:rPr>
              <w:t xml:space="preserve"> Electric</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A39486C" w14:textId="77777777" w:rsidR="00013B8D" w:rsidRDefault="00013B8D" w:rsidP="00155891">
            <w:pPr>
              <w:jc w:val="center"/>
            </w:pPr>
            <w:r>
              <w:rPr>
                <w:rFonts w:ascii="Arial" w:hAnsi="Arial"/>
                <w:color w:val="2C2C2C"/>
                <w:sz w:val="19"/>
              </w:rPr>
              <w:t>+12.80%</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29C48C1" w14:textId="77777777" w:rsidR="00013B8D" w:rsidRDefault="00013B8D" w:rsidP="00155891">
            <w:pPr>
              <w:jc w:val="center"/>
            </w:pPr>
            <w:r>
              <w:rPr>
                <w:rFonts w:ascii="Arial" w:hAnsi="Arial"/>
                <w:b/>
                <w:color w:val="1A6B3A"/>
                <w:sz w:val="19"/>
              </w:rPr>
              <w:t>3.27%</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09FDA2C" w14:textId="77777777" w:rsidR="00013B8D" w:rsidRDefault="00013B8D" w:rsidP="00155891">
            <w:pPr>
              <w:jc w:val="center"/>
            </w:pPr>
            <w:proofErr w:type="spellStart"/>
            <w:r>
              <w:rPr>
                <w:rFonts w:ascii="Arial" w:hAnsi="Arial"/>
                <w:b/>
                <w:color w:val="1A6B3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F819D73" w14:textId="77777777" w:rsidR="00013B8D" w:rsidRDefault="00013B8D" w:rsidP="00155891">
            <w:pPr>
              <w:jc w:val="center"/>
            </w:pPr>
            <w:r>
              <w:rPr>
                <w:rFonts w:ascii="Arial" w:hAnsi="Arial"/>
                <w:color w:val="2C2C2C"/>
                <w:sz w:val="19"/>
              </w:rPr>
              <w:t>&lt;5%</w:t>
            </w:r>
          </w:p>
        </w:tc>
      </w:tr>
      <w:tr w:rsidR="00013B8D" w14:paraId="69B0AEAB"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649CCBE9" w14:textId="77777777" w:rsidR="00013B8D" w:rsidRDefault="00013B8D" w:rsidP="00155891">
            <w:pPr>
              <w:jc w:val="center"/>
            </w:pPr>
            <w:r>
              <w:rPr>
                <w:rFonts w:ascii="Arial" w:hAnsi="Arial"/>
                <w:b/>
                <w:color w:val="2C2C2C"/>
                <w:sz w:val="19"/>
              </w:rPr>
              <w:t>HUBB</w:t>
            </w:r>
          </w:p>
        </w:tc>
        <w:tc>
          <w:tcPr>
            <w:tcW w:w="26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6E47855B" w14:textId="77777777" w:rsidR="00013B8D" w:rsidRDefault="00013B8D" w:rsidP="00155891">
            <w:pPr>
              <w:jc w:val="center"/>
            </w:pPr>
            <w:r>
              <w:rPr>
                <w:rFonts w:ascii="Arial" w:hAnsi="Arial"/>
                <w:color w:val="2C2C2C"/>
                <w:sz w:val="19"/>
              </w:rPr>
              <w:t xml:space="preserve">Hubbell </w:t>
            </w:r>
            <w:proofErr w:type="spellStart"/>
            <w:r>
              <w:rPr>
                <w:rFonts w:ascii="Arial" w:hAnsi="Arial"/>
                <w:color w:val="2C2C2C"/>
                <w:sz w:val="19"/>
              </w:rPr>
              <w:t>Inc</w:t>
            </w:r>
            <w:proofErr w:type="spellEnd"/>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48D3DA7C" w14:textId="77777777" w:rsidR="00013B8D" w:rsidRDefault="00013B8D" w:rsidP="00155891">
            <w:pPr>
              <w:jc w:val="center"/>
            </w:pPr>
            <w:r>
              <w:rPr>
                <w:rFonts w:ascii="Arial" w:hAnsi="Arial"/>
                <w:color w:val="2C2C2C"/>
                <w:sz w:val="19"/>
              </w:rPr>
              <w:t>+13.73%</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0271AC94" w14:textId="77777777" w:rsidR="00013B8D" w:rsidRDefault="00013B8D" w:rsidP="00155891">
            <w:pPr>
              <w:jc w:val="center"/>
            </w:pPr>
            <w:r>
              <w:rPr>
                <w:rFonts w:ascii="Arial" w:hAnsi="Arial"/>
                <w:b/>
                <w:color w:val="8B1A1A"/>
                <w:sz w:val="19"/>
              </w:rPr>
              <w:t>14.48%</w:t>
            </w:r>
          </w:p>
        </w:tc>
        <w:tc>
          <w:tcPr>
            <w:tcW w:w="14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5DF661F6" w14:textId="77777777" w:rsidR="00013B8D" w:rsidRDefault="00013B8D" w:rsidP="00155891">
            <w:pPr>
              <w:jc w:val="center"/>
            </w:pPr>
            <w:r>
              <w:rPr>
                <w:rFonts w:ascii="Arial" w:hAnsi="Arial"/>
                <w:b/>
                <w:color w:val="8B1A1A"/>
                <w:sz w:val="19"/>
              </w:rPr>
              <w:t xml:space="preserve">NOT </w:t>
            </w:r>
            <w:proofErr w:type="spellStart"/>
            <w:r>
              <w:rPr>
                <w:rFonts w:ascii="Arial" w:hAnsi="Arial"/>
                <w:b/>
                <w:color w:val="8B1A1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5018FD0D" w14:textId="77777777" w:rsidR="00013B8D" w:rsidRDefault="00013B8D" w:rsidP="00155891">
            <w:pPr>
              <w:jc w:val="center"/>
            </w:pPr>
            <w:r>
              <w:rPr>
                <w:rFonts w:ascii="Arial" w:hAnsi="Arial"/>
                <w:color w:val="2C2C2C"/>
                <w:sz w:val="19"/>
              </w:rPr>
              <w:t>&gt;10%</w:t>
            </w:r>
          </w:p>
        </w:tc>
      </w:tr>
      <w:tr w:rsidR="00013B8D" w14:paraId="6BD45D5E" w14:textId="77777777" w:rsidTr="00013B8D">
        <w:tblPrEx>
          <w:tblCellMar>
            <w:top w:w="0" w:type="dxa"/>
            <w:bottom w:w="0" w:type="dxa"/>
          </w:tblCellMar>
        </w:tblPrEx>
        <w:trPr>
          <w:jc w:val="center"/>
        </w:trPr>
        <w:tc>
          <w:tcPr>
            <w:tcW w:w="15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A29B2E2" w14:textId="77777777" w:rsidR="00013B8D" w:rsidRDefault="00013B8D" w:rsidP="00155891">
            <w:pPr>
              <w:jc w:val="center"/>
            </w:pPr>
            <w:r>
              <w:rPr>
                <w:rFonts w:ascii="Arial" w:hAnsi="Arial"/>
                <w:b/>
                <w:color w:val="2C2C2C"/>
                <w:sz w:val="19"/>
              </w:rPr>
              <w:t>MLI</w:t>
            </w:r>
          </w:p>
        </w:tc>
        <w:tc>
          <w:tcPr>
            <w:tcW w:w="26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CC05CFE" w14:textId="77777777" w:rsidR="00013B8D" w:rsidRDefault="00013B8D" w:rsidP="00155891">
            <w:pPr>
              <w:jc w:val="center"/>
            </w:pPr>
            <w:r>
              <w:rPr>
                <w:rFonts w:ascii="Arial" w:hAnsi="Arial"/>
                <w:color w:val="2C2C2C"/>
                <w:sz w:val="19"/>
              </w:rPr>
              <w:t>Mueller Industries</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ABC74C2" w14:textId="77777777" w:rsidR="00013B8D" w:rsidRDefault="00013B8D" w:rsidP="00155891">
            <w:pPr>
              <w:jc w:val="center"/>
            </w:pPr>
            <w:r>
              <w:rPr>
                <w:rFonts w:ascii="Arial" w:hAnsi="Arial"/>
                <w:color w:val="2C2C2C"/>
                <w:sz w:val="19"/>
              </w:rPr>
              <w:t>+41.76%</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AD81351" w14:textId="77777777" w:rsidR="00013B8D" w:rsidRDefault="00013B8D" w:rsidP="00155891">
            <w:pPr>
              <w:jc w:val="center"/>
            </w:pPr>
            <w:r>
              <w:rPr>
                <w:rFonts w:ascii="Arial" w:hAnsi="Arial"/>
                <w:b/>
                <w:color w:val="1A6B3A"/>
                <w:sz w:val="19"/>
              </w:rPr>
              <w:t>2.05%</w:t>
            </w:r>
          </w:p>
        </w:tc>
        <w:tc>
          <w:tcPr>
            <w:tcW w:w="14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E69BFEC" w14:textId="77777777" w:rsidR="00013B8D" w:rsidRDefault="00013B8D" w:rsidP="00155891">
            <w:pPr>
              <w:jc w:val="center"/>
            </w:pPr>
            <w:proofErr w:type="spellStart"/>
            <w:r>
              <w:rPr>
                <w:rFonts w:ascii="Arial" w:hAnsi="Arial"/>
                <w:b/>
                <w:color w:val="1A6B3A"/>
                <w:sz w:val="19"/>
              </w:rPr>
              <w:t>Significant</w:t>
            </w:r>
            <w:proofErr w:type="spellEnd"/>
          </w:p>
        </w:tc>
        <w:tc>
          <w:tcPr>
            <w:tcW w:w="106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9F4B519" w14:textId="77777777" w:rsidR="00013B8D" w:rsidRDefault="00013B8D" w:rsidP="00155891">
            <w:pPr>
              <w:jc w:val="center"/>
            </w:pPr>
            <w:r>
              <w:rPr>
                <w:rFonts w:ascii="Arial" w:hAnsi="Arial"/>
                <w:color w:val="2C2C2C"/>
                <w:sz w:val="19"/>
              </w:rPr>
              <w:t>&lt;5%</w:t>
            </w:r>
          </w:p>
        </w:tc>
      </w:tr>
    </w:tbl>
    <w:p w14:paraId="408360AE" w14:textId="22939177" w:rsidR="00453915" w:rsidRPr="00E369CA" w:rsidRDefault="00453915" w:rsidP="00E369CA">
      <w:pPr>
        <w:spacing w:before="30" w:after="100"/>
        <w:jc w:val="center"/>
        <w:rPr>
          <w:rFonts w:ascii="Arial" w:eastAsia="Arial" w:hAnsi="Arial" w:cs="Arial"/>
          <w:color w:val="666666"/>
          <w:sz w:val="17"/>
          <w:lang w:val="en-CA"/>
        </w:rPr>
      </w:pPr>
      <w:r w:rsidRPr="009909BF">
        <w:rPr>
          <w:rFonts w:ascii="Arial" w:eastAsia="Arial" w:hAnsi="Arial" w:cs="Arial"/>
          <w:color w:val="666666"/>
          <w:sz w:val="17"/>
          <w:lang w:val="en-CA"/>
        </w:rPr>
        <w:t xml:space="preserve">Table </w:t>
      </w:r>
      <w:proofErr w:type="gramStart"/>
      <w:r w:rsidRPr="009909BF">
        <w:rPr>
          <w:rFonts w:ascii="Arial" w:eastAsia="Arial" w:hAnsi="Arial" w:cs="Arial"/>
          <w:color w:val="666666"/>
          <w:sz w:val="17"/>
          <w:lang w:val="en-CA"/>
        </w:rPr>
        <w:t>4.</w:t>
      </w:r>
      <w:r w:rsidR="007A27CE">
        <w:rPr>
          <w:rFonts w:ascii="Arial" w:eastAsia="Arial" w:hAnsi="Arial" w:cs="Arial"/>
          <w:color w:val="666666"/>
          <w:sz w:val="17"/>
          <w:lang w:val="en-CA"/>
        </w:rPr>
        <w:t>5</w:t>
      </w:r>
      <w:r w:rsidRPr="009909BF">
        <w:rPr>
          <w:rFonts w:ascii="Arial" w:eastAsia="Arial" w:hAnsi="Arial" w:cs="Arial"/>
          <w:color w:val="666666"/>
          <w:sz w:val="17"/>
          <w:lang w:val="en-CA"/>
        </w:rPr>
        <w:t xml:space="preserve">  -</w:t>
      </w:r>
      <w:proofErr w:type="gramEnd"/>
      <w:r w:rsidRPr="009909BF">
        <w:rPr>
          <w:rFonts w:ascii="Arial" w:eastAsia="Arial" w:hAnsi="Arial" w:cs="Arial"/>
          <w:color w:val="666666"/>
          <w:sz w:val="17"/>
          <w:lang w:val="en-CA"/>
        </w:rPr>
        <w:t xml:space="preserve">  </w:t>
      </w:r>
      <w:r w:rsidR="00E369CA">
        <w:rPr>
          <w:rFonts w:ascii="Arial" w:eastAsia="Arial" w:hAnsi="Arial" w:cs="Arial"/>
          <w:color w:val="666666"/>
          <w:sz w:val="17"/>
          <w:lang w:val="en-CA"/>
        </w:rPr>
        <w:t xml:space="preserve">Summary Output of Regression Analysis of each stock. </w:t>
      </w:r>
      <w:r w:rsidRPr="009909BF">
        <w:rPr>
          <w:rFonts w:ascii="Arial" w:eastAsia="Arial" w:hAnsi="Arial" w:cs="Arial"/>
          <w:color w:val="666666"/>
          <w:sz w:val="17"/>
          <w:lang w:val="en-CA"/>
        </w:rPr>
        <w:t xml:space="preserve">Source: Data. </w:t>
      </w:r>
      <w:r w:rsidRPr="00E369CA">
        <w:rPr>
          <w:rFonts w:ascii="Arial" w:eastAsia="Arial" w:hAnsi="Arial" w:cs="Arial"/>
          <w:color w:val="666666"/>
          <w:sz w:val="17"/>
          <w:lang w:val="en-CA"/>
        </w:rPr>
        <w:t>Securities &amp; Security Allocation sheets, ACWI_index_FV.xlsx.</w:t>
      </w:r>
    </w:p>
    <w:p w14:paraId="4BBBA7EA" w14:textId="77777777" w:rsidR="00E369CA" w:rsidRPr="00E369CA" w:rsidRDefault="00E369CA" w:rsidP="00E369CA">
      <w:pPr>
        <w:rPr>
          <w:lang w:val="en-CA"/>
        </w:rPr>
      </w:pPr>
      <w:r w:rsidRPr="00E369CA">
        <w:rPr>
          <w:lang w:val="en-CA"/>
        </w:rPr>
        <w:t>As shown, four stocks fail the 10% significance threshold. This is a meaningful concern representing over 59% of the active portfolio by weight (SBGSY 23.39% + ETN 14.57% + HUBB 7.33% + AEP 1.89% = 47.18% of active sleeve; 26% of total portfolio).</w:t>
      </w:r>
    </w:p>
    <w:p w14:paraId="20115736" w14:textId="77777777" w:rsidR="00013B8D" w:rsidRDefault="00013B8D" w:rsidP="00013B8D">
      <w:pPr>
        <w:rPr>
          <w:lang w:val="en-CA"/>
        </w:rPr>
      </w:pPr>
    </w:p>
    <w:p w14:paraId="542374D2" w14:textId="77777777" w:rsidR="00E369CA" w:rsidRDefault="00E369CA" w:rsidP="00013B8D">
      <w:pPr>
        <w:rPr>
          <w:lang w:val="en-CA"/>
        </w:rPr>
      </w:pPr>
    </w:p>
    <w:p w14:paraId="59CB5F63" w14:textId="77777777" w:rsidR="00E369CA" w:rsidRDefault="00E369CA" w:rsidP="00013B8D">
      <w:pPr>
        <w:rPr>
          <w:lang w:val="en-CA"/>
        </w:rPr>
      </w:pPr>
    </w:p>
    <w:p w14:paraId="1A0737DA" w14:textId="77777777" w:rsidR="00E369CA" w:rsidRDefault="00E369CA" w:rsidP="00013B8D">
      <w:pPr>
        <w:rPr>
          <w:lang w:val="en-CA"/>
        </w:rPr>
      </w:pPr>
    </w:p>
    <w:p w14:paraId="04001FF8" w14:textId="77777777" w:rsidR="00E369CA" w:rsidRPr="00013B8D" w:rsidRDefault="00E369CA" w:rsidP="00013B8D">
      <w:pPr>
        <w:rPr>
          <w:lang w:val="en-CA"/>
        </w:rPr>
      </w:pPr>
    </w:p>
    <w:p w14:paraId="79C55D19" w14:textId="40F7054B" w:rsidR="00013B8D" w:rsidRDefault="00E369CA" w:rsidP="00E369CA">
      <w:pPr>
        <w:pStyle w:val="Heading4"/>
      </w:pPr>
      <w:r>
        <w:t>4.7.3 Why These P-Values Are High: Root-Cause Analysis</w:t>
      </w:r>
    </w:p>
    <w:p w14:paraId="49DD258F" w14:textId="77777777" w:rsidR="00E369CA" w:rsidRDefault="00E369CA" w:rsidP="00E369CA">
      <w:pPr>
        <w:rPr>
          <w:lang w:val="en-CA"/>
        </w:rPr>
      </w:pPr>
      <w:r w:rsidRPr="00E369CA">
        <w:rPr>
          <w:b/>
          <w:bCs/>
          <w:lang w:val="en-CA"/>
        </w:rPr>
        <w:t>1. High Idiosyncratic Variance (σ(e)):</w:t>
      </w:r>
      <w:r w:rsidRPr="00E369CA">
        <w:rPr>
          <w:lang w:val="en-CA"/>
        </w:rPr>
        <w:t xml:space="preserve"> The four problematic stocks all have elevated residual variance. AEP (σ(e) = 31.66%) and HUBB (σ(e) = 36.83%) have the two highest idiosyncratic risk figures in the portfolio. High residual variance widens the standard error of the alpha estimate, raising the p-value. With 60 observations and high firm-specific noise, the statistical power to detect alpha is reduced.</w:t>
      </w:r>
    </w:p>
    <w:p w14:paraId="6B0C3C45" w14:textId="77777777" w:rsidR="00E369CA" w:rsidRPr="00E369CA" w:rsidRDefault="00E369CA" w:rsidP="00E369CA">
      <w:pPr>
        <w:rPr>
          <w:lang w:val="en-CA"/>
        </w:rPr>
      </w:pPr>
    </w:p>
    <w:p w14:paraId="43F6AEF9" w14:textId="77777777" w:rsidR="00E369CA" w:rsidRDefault="00E369CA" w:rsidP="00E369CA">
      <w:pPr>
        <w:rPr>
          <w:lang w:val="en-CA"/>
        </w:rPr>
      </w:pPr>
      <w:r w:rsidRPr="00E369CA">
        <w:rPr>
          <w:b/>
          <w:bCs/>
          <w:lang w:val="en-CA"/>
        </w:rPr>
        <w:t>2. Moderate Correlation with ACWI (low R²):</w:t>
      </w:r>
      <w:r w:rsidRPr="00E369CA">
        <w:rPr>
          <w:lang w:val="en-CA"/>
        </w:rPr>
        <w:t xml:space="preserve"> ETN (R² = 42.5%), HUBB (R² = 28.4%), and AEP (R² = 26.9%) have relatively low R² with the ACWI benchmark. This means the market model itself explains only a modest portion of their return variance — the remaining variance is attributed to unexplained firm-specific factors, which widens the alpha confidence interval.</w:t>
      </w:r>
    </w:p>
    <w:p w14:paraId="4262EB34" w14:textId="77777777" w:rsidR="00E369CA" w:rsidRPr="00E369CA" w:rsidRDefault="00E369CA" w:rsidP="00E369CA">
      <w:pPr>
        <w:rPr>
          <w:lang w:val="en-CA"/>
        </w:rPr>
      </w:pPr>
    </w:p>
    <w:p w14:paraId="69A35FFE" w14:textId="77777777" w:rsidR="00E369CA" w:rsidRDefault="00E369CA" w:rsidP="00E369CA">
      <w:pPr>
        <w:rPr>
          <w:lang w:val="en-CA"/>
        </w:rPr>
      </w:pPr>
      <w:r w:rsidRPr="00E369CA">
        <w:rPr>
          <w:b/>
          <w:bCs/>
          <w:lang w:val="en-CA"/>
        </w:rPr>
        <w:t>3. 60-Month Sample Size Limitation:</w:t>
      </w:r>
      <w:r w:rsidRPr="00E369CA">
        <w:rPr>
          <w:lang w:val="en-CA"/>
        </w:rPr>
        <w:t xml:space="preserve"> The regression uses 60 monthly observations. This is standard in equity research but gives only 58 degrees of freedom, modest statistical power. For stocks with genuinely moderate alpha and high noise, 60 months is often insufficient to produce tight confidence intervals. Extending to 120 months (10 years) would likely reduce p-values for stocks with persistent alpha, but risks capturing structural regime changes in the underlying business.</w:t>
      </w:r>
    </w:p>
    <w:p w14:paraId="7CE51D37" w14:textId="77777777" w:rsidR="00E369CA" w:rsidRPr="00E369CA" w:rsidRDefault="00E369CA" w:rsidP="00E369CA">
      <w:pPr>
        <w:rPr>
          <w:lang w:val="en-CA"/>
        </w:rPr>
      </w:pPr>
    </w:p>
    <w:p w14:paraId="4298CDE4" w14:textId="691A8752" w:rsidR="00E369CA" w:rsidRDefault="00E369CA" w:rsidP="00E369CA">
      <w:pPr>
        <w:rPr>
          <w:lang w:val="en-CA"/>
        </w:rPr>
      </w:pPr>
      <w:r w:rsidRPr="00E369CA">
        <w:rPr>
          <w:b/>
          <w:bCs/>
          <w:lang w:val="en-CA"/>
        </w:rPr>
        <w:t>4. SBGSY's Specific Case — High Beta Hides Alpha:</w:t>
      </w:r>
      <w:r w:rsidRPr="00E369CA">
        <w:rPr>
          <w:lang w:val="en-CA"/>
        </w:rPr>
        <w:t xml:space="preserve"> SBGSY has high R² (70.07%) and high correlation with ACWI (0.837). Despite strong fit, its p-value is 36.35%. The reason: SBGSY's market exposure is so large (beta 1.716) that most of its return is explained by systematic movements. The incremental firm-specific alpha, while positive at 9.10%, is small relative to its overall return variance</w:t>
      </w:r>
      <w:r>
        <w:rPr>
          <w:lang w:val="en-CA"/>
        </w:rPr>
        <w:t>,</w:t>
      </w:r>
      <w:r w:rsidRPr="00E369CA">
        <w:rPr>
          <w:lang w:val="en-CA"/>
        </w:rPr>
        <w:t xml:space="preserve"> so the estimate is noisy.</w:t>
      </w:r>
    </w:p>
    <w:p w14:paraId="6C2451E0" w14:textId="77777777" w:rsidR="00E369CA" w:rsidRDefault="00E369CA" w:rsidP="00E369CA">
      <w:pPr>
        <w:rPr>
          <w:lang w:val="en-CA"/>
        </w:rPr>
      </w:pPr>
    </w:p>
    <w:p w14:paraId="3001C425" w14:textId="0AC201BA" w:rsidR="00E369CA" w:rsidRDefault="00E369CA" w:rsidP="00E369CA">
      <w:pPr>
        <w:pStyle w:val="Heading4"/>
      </w:pPr>
      <w:r>
        <w:lastRenderedPageBreak/>
        <w:t>4.7.4 Portfolio</w:t>
      </w:r>
      <w:r>
        <w:t xml:space="preserve"> Management Implications</w:t>
      </w:r>
    </w:p>
    <w:p w14:paraId="1509C687" w14:textId="6F38E9AD" w:rsidR="00E369CA" w:rsidRDefault="00E369CA" w:rsidP="00E369CA">
      <w:pPr>
        <w:rPr>
          <w:lang w:val="en-CA"/>
        </w:rPr>
      </w:pPr>
      <w:r w:rsidRPr="00E369CA">
        <w:rPr>
          <w:b/>
          <w:bCs/>
          <w:lang w:val="en-CA"/>
        </w:rPr>
        <w:t>Implication 1 — Position Sizing Discipline:</w:t>
      </w:r>
      <w:r w:rsidRPr="00E369CA">
        <w:rPr>
          <w:lang w:val="en-CA"/>
        </w:rPr>
        <w:t xml:space="preserve"> The Treynor-Black framework is agnostic to p-</w:t>
      </w:r>
      <w:r w:rsidR="007A27CE" w:rsidRPr="00E369CA">
        <w:rPr>
          <w:lang w:val="en-CA"/>
        </w:rPr>
        <w:t>values</w:t>
      </w:r>
      <w:r w:rsidR="007A27CE">
        <w:rPr>
          <w:lang w:val="en-CA"/>
        </w:rPr>
        <w:t xml:space="preserve">, </w:t>
      </w:r>
      <w:r w:rsidR="007A27CE" w:rsidRPr="00E369CA">
        <w:rPr>
          <w:lang w:val="en-CA"/>
        </w:rPr>
        <w:t>it</w:t>
      </w:r>
      <w:r w:rsidRPr="00E369CA">
        <w:rPr>
          <w:lang w:val="en-CA"/>
        </w:rPr>
        <w:t xml:space="preserve"> </w:t>
      </w:r>
      <w:r w:rsidR="007A27CE" w:rsidRPr="00E369CA">
        <w:rPr>
          <w:lang w:val="en-CA"/>
        </w:rPr>
        <w:t>weighs</w:t>
      </w:r>
      <w:r w:rsidRPr="00E369CA">
        <w:rPr>
          <w:lang w:val="en-CA"/>
        </w:rPr>
        <w:t xml:space="preserve"> on point estimates of alpha and residual variance regardless of statistical significance. A fully rigorous approach would shrink the weights of statistically insignificant alpha estimates toward zero (Bayesian shrinkage). The PM team applies a judgmental overlay: positions with p-values above 10% are capped at their Treynor-Black weight and not increased on any subsequent rebalance without a corresponding decrease in p-value.</w:t>
      </w:r>
    </w:p>
    <w:p w14:paraId="0DDCD6CA" w14:textId="77777777" w:rsidR="00E369CA" w:rsidRPr="00E369CA" w:rsidRDefault="00E369CA" w:rsidP="00E369CA">
      <w:pPr>
        <w:rPr>
          <w:lang w:val="en-CA"/>
        </w:rPr>
      </w:pPr>
    </w:p>
    <w:p w14:paraId="3311E762" w14:textId="77777777" w:rsidR="00E369CA" w:rsidRDefault="00E369CA" w:rsidP="00E369CA">
      <w:pPr>
        <w:rPr>
          <w:lang w:val="en-CA"/>
        </w:rPr>
      </w:pPr>
      <w:r w:rsidRPr="00E369CA">
        <w:rPr>
          <w:b/>
          <w:bCs/>
          <w:lang w:val="en-CA"/>
        </w:rPr>
        <w:t>Implication 2 — Ongoing Monitoring Priority:</w:t>
      </w:r>
      <w:r w:rsidRPr="00E369CA">
        <w:rPr>
          <w:lang w:val="en-CA"/>
        </w:rPr>
        <w:t xml:space="preserve"> The four high-p-value positions (ETN, AEP, SBGSY, HUBB) receive PRIORITY monitoring status. Each quarterly rebalancing cycle, their regression is re-estimated. If any of these positions continues to show p-values above 10% after two consecutive re-estimation cycles and adjusted alpha remains below 5%, the position is reduced by 50% with the freed capital redeployed to statistically significant alpha holdings (PWR, NVT, MLI).</w:t>
      </w:r>
    </w:p>
    <w:p w14:paraId="6F9777A1" w14:textId="77777777" w:rsidR="00E369CA" w:rsidRPr="00E369CA" w:rsidRDefault="00E369CA" w:rsidP="00E369CA">
      <w:pPr>
        <w:rPr>
          <w:lang w:val="en-CA"/>
        </w:rPr>
      </w:pPr>
    </w:p>
    <w:p w14:paraId="50E6793C" w14:textId="0EDF6F55" w:rsidR="00E369CA" w:rsidRDefault="00E369CA" w:rsidP="00E369CA">
      <w:pPr>
        <w:rPr>
          <w:lang w:val="en-CA"/>
        </w:rPr>
      </w:pPr>
      <w:r w:rsidRPr="00E369CA">
        <w:rPr>
          <w:b/>
          <w:bCs/>
          <w:lang w:val="en-CA"/>
        </w:rPr>
        <w:t>Implication 3 — HUBB Special Consideration:</w:t>
      </w:r>
      <w:r w:rsidRPr="00E369CA">
        <w:rPr>
          <w:lang w:val="en-CA"/>
        </w:rPr>
        <w:t xml:space="preserve"> HUBB combines a high p-value (14.48%) with a NEGATIVE 1-year analyst consensus target (−15.46%). This combination</w:t>
      </w:r>
      <w:r>
        <w:rPr>
          <w:lang w:val="en-CA"/>
        </w:rPr>
        <w:t xml:space="preserve">, </w:t>
      </w:r>
      <w:r w:rsidRPr="00E369CA">
        <w:rPr>
          <w:lang w:val="en-CA"/>
        </w:rPr>
        <w:t>weak statistical alpha plus forward-looking negative consensus</w:t>
      </w:r>
      <w:r>
        <w:rPr>
          <w:lang w:val="en-CA"/>
        </w:rPr>
        <w:t xml:space="preserve">, </w:t>
      </w:r>
      <w:r w:rsidRPr="00E369CA">
        <w:rPr>
          <w:lang w:val="en-CA"/>
        </w:rPr>
        <w:t>makes HUBB the highest-risk position in the portfolio. The IPS flags HUBB for ACCELERATED quarterly review: if the p-value does not drop below 10% within two quarters, HUBB will be reduced to half weight (3.67%) with the freed capital redirected to MLI.</w:t>
      </w:r>
    </w:p>
    <w:p w14:paraId="3031D4D5" w14:textId="77777777" w:rsidR="00E369CA" w:rsidRPr="00E369CA" w:rsidRDefault="00E369CA" w:rsidP="00E369CA">
      <w:pPr>
        <w:rPr>
          <w:lang w:val="en-CA"/>
        </w:rPr>
      </w:pPr>
    </w:p>
    <w:p w14:paraId="5F53B7C5" w14:textId="4723FCF9" w:rsidR="00E369CA" w:rsidRDefault="00E369CA" w:rsidP="00E369CA">
      <w:pPr>
        <w:rPr>
          <w:lang w:val="en-CA"/>
        </w:rPr>
      </w:pPr>
      <w:r w:rsidRPr="00E369CA">
        <w:rPr>
          <w:b/>
          <w:bCs/>
          <w:lang w:val="en-CA"/>
        </w:rPr>
        <w:t>Implication 4 — Portfolio-Level Alpha Confidence:</w:t>
      </w:r>
      <w:r w:rsidRPr="00E369CA">
        <w:rPr>
          <w:lang w:val="en-CA"/>
        </w:rPr>
        <w:t xml:space="preserve"> The statistically-significant alpha stocks (PWR, NVT, MLI) account for 52.82% of the active sleeve, or 29.4% of total portfolio. The portfolio's overall Jensen alpha of 17.37% is supported by these high-confidence holdings. If the </w:t>
      </w:r>
      <w:r w:rsidRPr="00E369CA">
        <w:rPr>
          <w:lang w:val="en-CA"/>
        </w:rPr>
        <w:t>statistically insignificant</w:t>
      </w:r>
      <w:r w:rsidRPr="00E369CA">
        <w:rPr>
          <w:lang w:val="en-CA"/>
        </w:rPr>
        <w:t xml:space="preserve"> stocks' alphas were conservatively set to zero, the expected portfolio alpha would fall to approximately 9.2%</w:t>
      </w:r>
      <w:r>
        <w:rPr>
          <w:lang w:val="en-CA"/>
        </w:rPr>
        <w:t>,</w:t>
      </w:r>
      <w:r w:rsidRPr="00E369CA">
        <w:rPr>
          <w:lang w:val="en-CA"/>
        </w:rPr>
        <w:t xml:space="preserve"> still significantly </w:t>
      </w:r>
      <w:r w:rsidRPr="00E369CA">
        <w:rPr>
          <w:lang w:val="en-CA"/>
        </w:rPr>
        <w:t>positive and</w:t>
      </w:r>
      <w:r w:rsidRPr="00E369CA">
        <w:rPr>
          <w:lang w:val="en-CA"/>
        </w:rPr>
        <w:t xml:space="preserve"> indicating that the portfolio is NOT over-reliant on unreliable alpha estimates.</w:t>
      </w:r>
    </w:p>
    <w:p w14:paraId="768CD5A0" w14:textId="77777777" w:rsidR="00E369CA" w:rsidRDefault="00E369CA" w:rsidP="00E369CA">
      <w:pPr>
        <w:rPr>
          <w:lang w:val="en-CA"/>
        </w:rPr>
      </w:pPr>
    </w:p>
    <w:p w14:paraId="1FD9EC5F" w14:textId="59C96C3D" w:rsidR="00E369CA" w:rsidRDefault="007A27CE" w:rsidP="00E369CA">
      <w:pPr>
        <w:pStyle w:val="Heading4"/>
      </w:pPr>
      <w:r>
        <w:t>4.7.5 Why</w:t>
      </w:r>
      <w:r w:rsidR="00E369CA">
        <w:t xml:space="preserve"> These Positions Are Retained Despite High P-Values</w:t>
      </w:r>
    </w:p>
    <w:p w14:paraId="4E42CC2B" w14:textId="77777777" w:rsidR="00E369CA" w:rsidRPr="00E369CA" w:rsidRDefault="00E369CA" w:rsidP="00E369CA">
      <w:pPr>
        <w:rPr>
          <w:lang w:val="en-CA"/>
        </w:rPr>
      </w:pPr>
      <w:r w:rsidRPr="00E369CA">
        <w:rPr>
          <w:lang w:val="en-CA"/>
        </w:rPr>
        <w:t>A reasonable question: if four stocks have unreliable alpha, why hold them at all? There are three reasons:</w:t>
      </w:r>
    </w:p>
    <w:p w14:paraId="46FFB605" w14:textId="77777777" w:rsidR="00E369CA" w:rsidRDefault="00E369CA" w:rsidP="00E369CA">
      <w:pPr>
        <w:pStyle w:val="ListParagraph"/>
        <w:numPr>
          <w:ilvl w:val="0"/>
          <w:numId w:val="8"/>
        </w:numPr>
      </w:pPr>
      <w:r w:rsidRPr="00E369CA">
        <w:rPr>
          <w:b/>
          <w:bCs/>
        </w:rPr>
        <w:t>Economic Rationale vs. Statistical Rationale:</w:t>
      </w:r>
      <w:r w:rsidRPr="00E369CA">
        <w:t xml:space="preserve"> Each of these companies has a clear, defensible fundamental thesis within the AI-energy framework. SBGSY is a leading smart-grid software platform; ETN is the top power-management provider; HUBB and AEP are grid infrastructure pure-plays. The fundamental case does not disappear just because the 60-month regression cannot tightly estimate the alpha.</w:t>
      </w:r>
    </w:p>
    <w:p w14:paraId="5F013503" w14:textId="6E690E06" w:rsidR="00E369CA" w:rsidRDefault="00E369CA" w:rsidP="00E369CA">
      <w:pPr>
        <w:pStyle w:val="ListParagraph"/>
        <w:numPr>
          <w:ilvl w:val="0"/>
          <w:numId w:val="8"/>
        </w:numPr>
      </w:pPr>
      <w:r w:rsidRPr="00E369CA">
        <w:rPr>
          <w:b/>
          <w:bCs/>
        </w:rPr>
        <w:t>Diversification Benefit:</w:t>
      </w:r>
      <w:r w:rsidRPr="00E369CA">
        <w:t xml:space="preserve"> These four stocks have low residual correlations with the three high-confidence alpha stocks (PWR, NVT, MLI)</w:t>
      </w:r>
      <w:r>
        <w:t xml:space="preserve">, </w:t>
      </w:r>
      <w:r w:rsidRPr="00E369CA">
        <w:t>particularly AEP (negative residual correlations with ETN, NVT, and SBGSY). They provide idiosyncratic diversification that reduces portfolio residual variance in the Treynor-Black optimisation even if their individual alphas are uncertain.</w:t>
      </w:r>
    </w:p>
    <w:p w14:paraId="0CFF0150" w14:textId="70802833" w:rsidR="00E369CA" w:rsidRPr="00E369CA" w:rsidRDefault="00E369CA" w:rsidP="00E369CA">
      <w:pPr>
        <w:pStyle w:val="ListParagraph"/>
        <w:numPr>
          <w:ilvl w:val="0"/>
          <w:numId w:val="8"/>
        </w:numPr>
      </w:pPr>
      <w:r w:rsidRPr="00E369CA">
        <w:rPr>
          <w:b/>
          <w:bCs/>
        </w:rPr>
        <w:t>Framework Consistency:</w:t>
      </w:r>
      <w:r w:rsidRPr="00E369CA">
        <w:t xml:space="preserve"> Deliberately excluding </w:t>
      </w:r>
      <w:r w:rsidRPr="00E369CA">
        <w:t>statistically insignificant</w:t>
      </w:r>
      <w:r w:rsidRPr="00E369CA">
        <w:t xml:space="preserve"> alpha stocks while including others would require an ad-hoc override of the Treynor-Black framework. The PM team has chosen instead to apply a transparent monitoring overlay (Implications 2 and 3 above) that tracks these positions' p-values over time, rather than introducing discretionary judgements that could drift away from the model's discipline.</w:t>
      </w:r>
    </w:p>
    <w:p w14:paraId="6ECE87CC" w14:textId="651A2955" w:rsidR="00E369CA" w:rsidRDefault="00E369CA" w:rsidP="00E369CA">
      <w:pPr>
        <w:rPr>
          <w:lang w:val="en-CA"/>
        </w:rPr>
      </w:pPr>
      <w:r w:rsidRPr="00E369CA">
        <w:rPr>
          <w:b/>
          <w:bCs/>
          <w:lang w:val="en-CA"/>
        </w:rPr>
        <w:t>BOTTOM LINE:</w:t>
      </w:r>
      <w:r w:rsidRPr="00E369CA">
        <w:rPr>
          <w:lang w:val="en-CA"/>
        </w:rPr>
        <w:t xml:space="preserve"> The portfolio generates its expected alpha of 17.37% from a mix of statistically</w:t>
      </w:r>
      <w:r>
        <w:rPr>
          <w:lang w:val="en-CA"/>
        </w:rPr>
        <w:t xml:space="preserve"> </w:t>
      </w:r>
      <w:r w:rsidRPr="00E369CA">
        <w:rPr>
          <w:lang w:val="en-CA"/>
        </w:rPr>
        <w:t xml:space="preserve">significant and </w:t>
      </w:r>
      <w:r w:rsidRPr="00E369CA">
        <w:rPr>
          <w:lang w:val="en-CA"/>
        </w:rPr>
        <w:t>statistically insignificant</w:t>
      </w:r>
      <w:r w:rsidRPr="00E369CA">
        <w:rPr>
          <w:lang w:val="en-CA"/>
        </w:rPr>
        <w:t xml:space="preserve"> alpha estimates. Approximately 52.82% of the active sleeve (PWR, NVT, MLI) carries high-confidence alpha. The remaining 47.18% (SBGSY, ETN, HUBB, AEP) carries lower-confidence alpha, is retained for economic and diversification reasons, and receives priority monitoring with a clear reduction protocol if p-values fail to improve.</w:t>
      </w:r>
    </w:p>
    <w:p w14:paraId="0B4473F7" w14:textId="35AF7E58" w:rsidR="00E369CA" w:rsidRDefault="00E369CA" w:rsidP="00E369CA">
      <w:pPr>
        <w:jc w:val="center"/>
        <w:rPr>
          <w:lang w:val="en-CA"/>
        </w:rPr>
      </w:pPr>
      <w:r>
        <w:rPr>
          <w:noProof/>
        </w:rPr>
        <w:lastRenderedPageBreak/>
        <w:drawing>
          <wp:inline distT="0" distB="0" distL="0" distR="0" wp14:anchorId="288EC4DF" wp14:editId="08235CC2">
            <wp:extent cx="6400800" cy="2514600"/>
            <wp:effectExtent l="0" t="0" r="0" b="0"/>
            <wp:docPr id="99" name="chartL_pvalues"/>
            <wp:cNvGraphicFramePr/>
            <a:graphic xmlns:a="http://schemas.openxmlformats.org/drawingml/2006/main">
              <a:graphicData uri="http://schemas.openxmlformats.org/drawingml/2006/picture">
                <pic:pic xmlns:pic="http://schemas.openxmlformats.org/drawingml/2006/picture">
                  <pic:nvPicPr>
                    <pic:cNvPr id="99" name="chartL_pvalues.png"/>
                    <pic:cNvPicPr/>
                  </pic:nvPicPr>
                  <pic:blipFill>
                    <a:blip r:embed="rId14"/>
                    <a:stretch>
                      <a:fillRect/>
                    </a:stretch>
                  </pic:blipFill>
                  <pic:spPr>
                    <a:xfrm>
                      <a:off x="0" y="0"/>
                      <a:ext cx="6400800" cy="2514600"/>
                    </a:xfrm>
                    <a:prstGeom prst="rect">
                      <a:avLst/>
                    </a:prstGeom>
                  </pic:spPr>
                </pic:pic>
              </a:graphicData>
            </a:graphic>
          </wp:inline>
        </w:drawing>
      </w:r>
    </w:p>
    <w:p w14:paraId="27416C03" w14:textId="38A24894" w:rsidR="00E369CA" w:rsidRPr="00175B2B" w:rsidRDefault="00E369CA" w:rsidP="00175B2B">
      <w:pPr>
        <w:spacing w:before="30" w:after="120"/>
        <w:jc w:val="center"/>
      </w:pPr>
      <w:r w:rsidRPr="00E369CA">
        <w:rPr>
          <w:rFonts w:ascii="Arial" w:hAnsi="Arial"/>
          <w:i/>
          <w:color w:val="666666"/>
          <w:sz w:val="17"/>
          <w:lang w:val="en-CA"/>
        </w:rPr>
        <w:t>Figure 4.</w:t>
      </w:r>
      <w:r w:rsidR="00062122">
        <w:rPr>
          <w:rFonts w:ascii="Arial" w:hAnsi="Arial"/>
          <w:i/>
          <w:color w:val="666666"/>
          <w:sz w:val="17"/>
          <w:lang w:val="en-CA"/>
        </w:rPr>
        <w:t>6</w:t>
      </w:r>
      <w:r w:rsidRPr="00E369CA">
        <w:rPr>
          <w:rFonts w:ascii="Arial" w:hAnsi="Arial"/>
          <w:i/>
          <w:color w:val="666666"/>
          <w:sz w:val="17"/>
          <w:lang w:val="en-CA"/>
        </w:rPr>
        <w:t xml:space="preserve"> — Left: Regression intercept p-values for all 7 active positions. 4 stocks fail the 10% significance threshold. Right: R² with ACWI benchmark — low R² amplifies alpha estimation error. </w:t>
      </w:r>
      <w:r>
        <w:rPr>
          <w:rFonts w:ascii="Arial" w:hAnsi="Arial"/>
          <w:i/>
          <w:color w:val="666666"/>
          <w:sz w:val="17"/>
        </w:rPr>
        <w:t xml:space="preserve">Source: ACWI_index_FV.xlsx, </w:t>
      </w:r>
      <w:proofErr w:type="spellStart"/>
      <w:r>
        <w:rPr>
          <w:rFonts w:ascii="Arial" w:hAnsi="Arial"/>
          <w:i/>
          <w:color w:val="666666"/>
          <w:sz w:val="17"/>
        </w:rPr>
        <w:t>regression</w:t>
      </w:r>
      <w:proofErr w:type="spellEnd"/>
      <w:r>
        <w:rPr>
          <w:rFonts w:ascii="Arial" w:hAnsi="Arial"/>
          <w:i/>
          <w:color w:val="666666"/>
          <w:sz w:val="17"/>
        </w:rPr>
        <w:t xml:space="preserve"> </w:t>
      </w:r>
      <w:proofErr w:type="spellStart"/>
      <w:r>
        <w:rPr>
          <w:rFonts w:ascii="Arial" w:hAnsi="Arial"/>
          <w:i/>
          <w:color w:val="666666"/>
          <w:sz w:val="17"/>
        </w:rPr>
        <w:t>summaries</w:t>
      </w:r>
      <w:proofErr w:type="spellEnd"/>
      <w:r>
        <w:rPr>
          <w:rFonts w:ascii="Arial" w:hAnsi="Arial"/>
          <w:i/>
          <w:color w:val="666666"/>
          <w:sz w:val="17"/>
        </w:rPr>
        <w:t>.</w:t>
      </w:r>
    </w:p>
    <w:p w14:paraId="0BF038D5" w14:textId="6B4A70FD" w:rsidR="000F1BB2" w:rsidRDefault="00416C21" w:rsidP="00416C21">
      <w:pPr>
        <w:pStyle w:val="Heading1"/>
      </w:pPr>
      <w:bookmarkStart w:id="36" w:name="_Toc227618172"/>
      <w:r>
        <w:t>Section 5 – Risk Management &amp; Performance Evaluation</w:t>
      </w:r>
      <w:bookmarkEnd w:id="36"/>
    </w:p>
    <w:p w14:paraId="2D27752B" w14:textId="77777777" w:rsidR="00593F91" w:rsidRDefault="00593F91" w:rsidP="00416C21">
      <w:pPr>
        <w:pStyle w:val="Heading3"/>
        <w:rPr>
          <w:i/>
          <w:color w:val="0F4761" w:themeColor="accent1" w:themeShade="BF"/>
          <w:sz w:val="20"/>
          <w:szCs w:val="32"/>
        </w:rPr>
      </w:pPr>
      <w:bookmarkStart w:id="37" w:name="_Toc227618173"/>
      <w:r w:rsidRPr="00593F91">
        <w:rPr>
          <w:i/>
          <w:color w:val="0F4761" w:themeColor="accent1" w:themeShade="BF"/>
          <w:sz w:val="20"/>
          <w:szCs w:val="32"/>
        </w:rPr>
        <w:t>All risk parameters, performance metrics, and correlation data in this section are sourced directly from the ACWI_index_FV.xlsx model. Risk decomposition uses the Single Index Model (Panel A/C/D); performance metrics from Panel G.</w:t>
      </w:r>
      <w:bookmarkEnd w:id="37"/>
    </w:p>
    <w:p w14:paraId="587552CF" w14:textId="06364463" w:rsidR="00416C21" w:rsidRDefault="007A27CE" w:rsidP="00416C21">
      <w:pPr>
        <w:pStyle w:val="Heading3"/>
      </w:pPr>
      <w:bookmarkStart w:id="38" w:name="_Toc227618174"/>
      <w:r>
        <w:rPr>
          <w:rFonts w:eastAsia="Arial"/>
        </w:rPr>
        <w:t>5.1 Risk</w:t>
      </w:r>
      <w:r w:rsidR="00416C21">
        <w:rPr>
          <w:rFonts w:eastAsia="Arial"/>
        </w:rPr>
        <w:t xml:space="preserve"> Decomposition &amp; Portfolio Beta</w:t>
      </w:r>
      <w:bookmarkEnd w:id="38"/>
    </w:p>
    <w:p w14:paraId="6B1AA9E4" w14:textId="51F21DDD" w:rsidR="00416C21" w:rsidRPr="00416C21" w:rsidRDefault="00593F91" w:rsidP="00416C21">
      <w:pPr>
        <w:rPr>
          <w:lang w:val="en-CA"/>
        </w:rPr>
      </w:pPr>
      <w:r w:rsidRPr="00593F91">
        <w:rPr>
          <w:lang w:val="en-CA"/>
        </w:rPr>
        <w:t xml:space="preserve">The ACWI active portfolio employs the Single Index Model (SIM) to decompose each security's total risk into two components: systematic risk (driven by the market/ACWI index and measured by Beta) and idiosyncratic risk (firm-specific, measured by </w:t>
      </w:r>
      <w:proofErr w:type="spellStart"/>
      <w:r w:rsidRPr="00593F91">
        <w:rPr>
          <w:lang w:val="en-CA"/>
        </w:rPr>
        <w:t>sd</w:t>
      </w:r>
      <w:proofErr w:type="spellEnd"/>
      <w:r w:rsidRPr="00593F91">
        <w:rPr>
          <w:lang w:val="en-CA"/>
        </w:rPr>
        <w:t>(e)). This decomposition is critical for Minh Tri's mandate: given a conservative risk tolerance (A = 9.20), the portfolio actively seeks to minimise residual variance in the active portfolio</w:t>
      </w:r>
      <w:r w:rsidR="007A27CE">
        <w:rPr>
          <w:lang w:val="en-CA"/>
        </w:rPr>
        <w:t xml:space="preserve">, </w:t>
      </w:r>
      <w:r w:rsidRPr="00593F91">
        <w:rPr>
          <w:lang w:val="en-CA"/>
        </w:rPr>
        <w:t>which is why the Treynor-Black weighting maximises the alpha-to-residual-variance ratio rather than raw alpha.</w:t>
      </w:r>
    </w:p>
    <w:tbl>
      <w:tblPr>
        <w:tblW w:w="9360" w:type="dxa"/>
        <w:jc w:val="center"/>
        <w:tblCellMar>
          <w:left w:w="10" w:type="dxa"/>
          <w:right w:w="10" w:type="dxa"/>
        </w:tblCellMar>
        <w:tblLook w:val="04A0" w:firstRow="1" w:lastRow="0" w:firstColumn="1" w:lastColumn="0" w:noHBand="0" w:noVBand="1"/>
      </w:tblPr>
      <w:tblGrid>
        <w:gridCol w:w="1100"/>
        <w:gridCol w:w="1100"/>
        <w:gridCol w:w="1200"/>
        <w:gridCol w:w="1200"/>
        <w:gridCol w:w="1200"/>
        <w:gridCol w:w="1100"/>
        <w:gridCol w:w="1180"/>
        <w:gridCol w:w="1280"/>
      </w:tblGrid>
      <w:tr w:rsidR="00593F91" w14:paraId="74A9F1EA" w14:textId="77777777" w:rsidTr="00593F91">
        <w:tblPrEx>
          <w:tblCellMar>
            <w:top w:w="0" w:type="dxa"/>
            <w:bottom w:w="0" w:type="dxa"/>
          </w:tblCellMar>
        </w:tblPrEx>
        <w:trPr>
          <w:jc w:val="center"/>
        </w:trPr>
        <w:tc>
          <w:tcPr>
            <w:tcW w:w="11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1C67D5F6" w14:textId="77777777" w:rsidR="00593F91" w:rsidRDefault="00593F91" w:rsidP="00155891">
            <w:pPr>
              <w:jc w:val="center"/>
            </w:pPr>
            <w:r>
              <w:rPr>
                <w:rFonts w:ascii="Arial" w:hAnsi="Arial"/>
                <w:b/>
                <w:color w:val="FFFFFF"/>
                <w:sz w:val="18"/>
              </w:rPr>
              <w:t>Ticker</w:t>
            </w:r>
          </w:p>
        </w:tc>
        <w:tc>
          <w:tcPr>
            <w:tcW w:w="11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68804A6" w14:textId="77777777" w:rsidR="00593F91" w:rsidRDefault="00593F91" w:rsidP="00155891">
            <w:pPr>
              <w:jc w:val="center"/>
            </w:pPr>
            <w:r>
              <w:rPr>
                <w:rFonts w:ascii="Arial" w:hAnsi="Arial"/>
                <w:b/>
                <w:color w:val="FFFFFF"/>
                <w:sz w:val="18"/>
              </w:rPr>
              <w:t>β</w:t>
            </w:r>
          </w:p>
        </w:tc>
        <w:tc>
          <w:tcPr>
            <w:tcW w:w="12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3B273CAE" w14:textId="77777777" w:rsidR="00593F91" w:rsidRDefault="00593F91" w:rsidP="00155891">
            <w:pPr>
              <w:jc w:val="center"/>
            </w:pPr>
            <w:r>
              <w:rPr>
                <w:rFonts w:ascii="Arial" w:hAnsi="Arial"/>
                <w:b/>
                <w:color w:val="FFFFFF"/>
                <w:sz w:val="18"/>
              </w:rPr>
              <w:t>σ Total</w:t>
            </w:r>
          </w:p>
        </w:tc>
        <w:tc>
          <w:tcPr>
            <w:tcW w:w="12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B4FBA06" w14:textId="77777777" w:rsidR="00593F91" w:rsidRDefault="00593F91" w:rsidP="00155891">
            <w:pPr>
              <w:jc w:val="center"/>
            </w:pPr>
            <w:r>
              <w:rPr>
                <w:rFonts w:ascii="Arial" w:hAnsi="Arial"/>
                <w:b/>
                <w:color w:val="FFFFFF"/>
                <w:sz w:val="18"/>
              </w:rPr>
              <w:t xml:space="preserve">σ </w:t>
            </w:r>
            <w:proofErr w:type="spellStart"/>
            <w:r>
              <w:rPr>
                <w:rFonts w:ascii="Arial" w:hAnsi="Arial"/>
                <w:b/>
                <w:color w:val="FFFFFF"/>
                <w:sz w:val="18"/>
              </w:rPr>
              <w:t>Syst</w:t>
            </w:r>
            <w:proofErr w:type="spellEnd"/>
            <w:r>
              <w:rPr>
                <w:rFonts w:ascii="Arial" w:hAnsi="Arial"/>
                <w:b/>
                <w:color w:val="FFFFFF"/>
                <w:sz w:val="18"/>
              </w:rPr>
              <w:t>.</w:t>
            </w:r>
          </w:p>
        </w:tc>
        <w:tc>
          <w:tcPr>
            <w:tcW w:w="12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CA057B6" w14:textId="77777777" w:rsidR="00593F91" w:rsidRDefault="00593F91" w:rsidP="00155891">
            <w:pPr>
              <w:jc w:val="center"/>
            </w:pPr>
            <w:r>
              <w:rPr>
                <w:rFonts w:ascii="Arial" w:hAnsi="Arial"/>
                <w:b/>
                <w:color w:val="FFFFFF"/>
                <w:sz w:val="18"/>
              </w:rPr>
              <w:t xml:space="preserve">σ(e) </w:t>
            </w:r>
            <w:proofErr w:type="spellStart"/>
            <w:r>
              <w:rPr>
                <w:rFonts w:ascii="Arial" w:hAnsi="Arial"/>
                <w:b/>
                <w:color w:val="FFFFFF"/>
                <w:sz w:val="18"/>
              </w:rPr>
              <w:t>Resid</w:t>
            </w:r>
            <w:proofErr w:type="spellEnd"/>
            <w:r>
              <w:rPr>
                <w:rFonts w:ascii="Arial" w:hAnsi="Arial"/>
                <w:b/>
                <w:color w:val="FFFFFF"/>
                <w:sz w:val="18"/>
              </w:rPr>
              <w:t>.</w:t>
            </w:r>
          </w:p>
        </w:tc>
        <w:tc>
          <w:tcPr>
            <w:tcW w:w="11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E51D1BC" w14:textId="77777777" w:rsidR="00593F91" w:rsidRDefault="00593F91" w:rsidP="00155891">
            <w:pPr>
              <w:jc w:val="center"/>
            </w:pPr>
            <w:r>
              <w:rPr>
                <w:rFonts w:ascii="Arial" w:hAnsi="Arial"/>
                <w:b/>
                <w:color w:val="FFFFFF"/>
                <w:sz w:val="18"/>
              </w:rPr>
              <w:t>R²</w:t>
            </w:r>
          </w:p>
        </w:tc>
        <w:tc>
          <w:tcPr>
            <w:tcW w:w="11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03E7F371" w14:textId="77777777" w:rsidR="00593F91" w:rsidRDefault="00593F91" w:rsidP="00155891">
            <w:pPr>
              <w:jc w:val="center"/>
            </w:pPr>
            <w:r>
              <w:rPr>
                <w:rFonts w:ascii="Arial" w:hAnsi="Arial"/>
                <w:b/>
                <w:color w:val="FFFFFF"/>
                <w:sz w:val="18"/>
              </w:rPr>
              <w:t>Corr. w/ ACWI</w:t>
            </w:r>
          </w:p>
        </w:tc>
        <w:tc>
          <w:tcPr>
            <w:tcW w:w="12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7472D6DE" w14:textId="77777777" w:rsidR="00593F91" w:rsidRDefault="00593F91" w:rsidP="00155891">
            <w:pPr>
              <w:jc w:val="center"/>
            </w:pPr>
            <w:r>
              <w:rPr>
                <w:rFonts w:ascii="Arial" w:hAnsi="Arial"/>
                <w:b/>
                <w:color w:val="FFFFFF"/>
                <w:sz w:val="18"/>
              </w:rPr>
              <w:t xml:space="preserve">Active </w:t>
            </w:r>
            <w:proofErr w:type="spellStart"/>
            <w:r>
              <w:rPr>
                <w:rFonts w:ascii="Arial" w:hAnsi="Arial"/>
                <w:b/>
                <w:color w:val="FFFFFF"/>
                <w:sz w:val="18"/>
              </w:rPr>
              <w:t>Wt</w:t>
            </w:r>
            <w:proofErr w:type="spellEnd"/>
            <w:r>
              <w:rPr>
                <w:rFonts w:ascii="Arial" w:hAnsi="Arial"/>
                <w:b/>
                <w:color w:val="FFFFFF"/>
                <w:sz w:val="18"/>
              </w:rPr>
              <w:t>.</w:t>
            </w:r>
          </w:p>
        </w:tc>
      </w:tr>
      <w:tr w:rsidR="00593F91" w14:paraId="1F133867"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6B2942C" w14:textId="77777777" w:rsidR="00593F91" w:rsidRDefault="00593F91" w:rsidP="00155891">
            <w:pPr>
              <w:jc w:val="center"/>
            </w:pPr>
            <w:r>
              <w:rPr>
                <w:rFonts w:ascii="Arial" w:hAnsi="Arial"/>
                <w:b/>
                <w:color w:val="2C2C2C"/>
                <w:sz w:val="19"/>
              </w:rPr>
              <w:t>PWR</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BEB20B1" w14:textId="77777777" w:rsidR="00593F91" w:rsidRDefault="00593F91" w:rsidP="00155891">
            <w:pPr>
              <w:jc w:val="center"/>
            </w:pPr>
            <w:r>
              <w:rPr>
                <w:rFonts w:ascii="Arial" w:hAnsi="Arial"/>
                <w:color w:val="2C2C2C"/>
                <w:sz w:val="19"/>
              </w:rPr>
              <w:t>1.143</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65215CC" w14:textId="77777777" w:rsidR="00593F91" w:rsidRDefault="00593F91" w:rsidP="00155891">
            <w:pPr>
              <w:jc w:val="center"/>
            </w:pPr>
            <w:r>
              <w:rPr>
                <w:rFonts w:ascii="Arial" w:hAnsi="Arial"/>
                <w:color w:val="2C2C2C"/>
                <w:sz w:val="19"/>
              </w:rPr>
              <w:t>31.31%</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61AF161" w14:textId="77777777" w:rsidR="00593F91" w:rsidRDefault="00593F91" w:rsidP="00155891">
            <w:pPr>
              <w:jc w:val="center"/>
            </w:pPr>
            <w:r>
              <w:rPr>
                <w:rFonts w:ascii="Arial" w:hAnsi="Arial"/>
                <w:color w:val="2C2C2C"/>
                <w:sz w:val="19"/>
              </w:rPr>
              <w:t>17.11%</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2AAC78B" w14:textId="77777777" w:rsidR="00593F91" w:rsidRDefault="00593F91" w:rsidP="00155891">
            <w:pPr>
              <w:jc w:val="center"/>
            </w:pPr>
            <w:r>
              <w:rPr>
                <w:rFonts w:ascii="Arial" w:hAnsi="Arial"/>
                <w:color w:val="2C2C2C"/>
                <w:sz w:val="19"/>
              </w:rPr>
              <w:t>26.22%</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CB5E6E8" w14:textId="77777777" w:rsidR="00593F91" w:rsidRDefault="00593F91" w:rsidP="00155891">
            <w:pPr>
              <w:jc w:val="center"/>
            </w:pPr>
            <w:r>
              <w:rPr>
                <w:rFonts w:ascii="Arial" w:hAnsi="Arial"/>
                <w:color w:val="2C2C2C"/>
                <w:sz w:val="19"/>
              </w:rPr>
              <w:t>29.9%</w:t>
            </w:r>
          </w:p>
        </w:tc>
        <w:tc>
          <w:tcPr>
            <w:tcW w:w="11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96809BB" w14:textId="77777777" w:rsidR="00593F91" w:rsidRDefault="00593F91" w:rsidP="00155891">
            <w:pPr>
              <w:jc w:val="center"/>
            </w:pPr>
            <w:r>
              <w:rPr>
                <w:rFonts w:ascii="Arial" w:hAnsi="Arial"/>
                <w:color w:val="2C2C2C"/>
                <w:sz w:val="19"/>
              </w:rPr>
              <w:t>0.546</w:t>
            </w:r>
          </w:p>
        </w:tc>
        <w:tc>
          <w:tcPr>
            <w:tcW w:w="12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74A0E4B" w14:textId="77777777" w:rsidR="00593F91" w:rsidRDefault="00593F91" w:rsidP="00155891">
            <w:pPr>
              <w:jc w:val="center"/>
            </w:pPr>
            <w:r>
              <w:rPr>
                <w:rFonts w:ascii="Arial" w:hAnsi="Arial"/>
                <w:color w:val="1A6B3A"/>
                <w:sz w:val="19"/>
              </w:rPr>
              <w:t>+14.0%</w:t>
            </w:r>
          </w:p>
        </w:tc>
      </w:tr>
      <w:tr w:rsidR="00593F91" w14:paraId="456F4F72"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F678323" w14:textId="77777777" w:rsidR="00593F91" w:rsidRDefault="00593F91" w:rsidP="00155891">
            <w:pPr>
              <w:jc w:val="center"/>
            </w:pPr>
            <w:r>
              <w:rPr>
                <w:rFonts w:ascii="Arial" w:hAnsi="Arial"/>
                <w:b/>
                <w:color w:val="2C2C2C"/>
                <w:sz w:val="19"/>
              </w:rPr>
              <w:t>ETN</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11EA6A4" w14:textId="77777777" w:rsidR="00593F91" w:rsidRDefault="00593F91" w:rsidP="00155891">
            <w:pPr>
              <w:jc w:val="center"/>
            </w:pPr>
            <w:r>
              <w:rPr>
                <w:rFonts w:ascii="Arial" w:hAnsi="Arial"/>
                <w:color w:val="2C2C2C"/>
                <w:sz w:val="19"/>
              </w:rPr>
              <w:t>1.185</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FEB9BA7" w14:textId="77777777" w:rsidR="00593F91" w:rsidRDefault="00593F91" w:rsidP="00155891">
            <w:pPr>
              <w:jc w:val="center"/>
            </w:pPr>
            <w:r>
              <w:rPr>
                <w:rFonts w:ascii="Arial" w:hAnsi="Arial"/>
                <w:color w:val="2C2C2C"/>
                <w:sz w:val="19"/>
              </w:rPr>
              <w:t>27.22%</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CBF0060" w14:textId="77777777" w:rsidR="00593F91" w:rsidRDefault="00593F91" w:rsidP="00155891">
            <w:pPr>
              <w:jc w:val="center"/>
            </w:pPr>
            <w:r>
              <w:rPr>
                <w:rFonts w:ascii="Arial" w:hAnsi="Arial"/>
                <w:color w:val="2C2C2C"/>
                <w:sz w:val="19"/>
              </w:rPr>
              <w:t>17.74%</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67E5CBF" w14:textId="77777777" w:rsidR="00593F91" w:rsidRDefault="00593F91" w:rsidP="00155891">
            <w:pPr>
              <w:jc w:val="center"/>
            </w:pPr>
            <w:r>
              <w:rPr>
                <w:rFonts w:ascii="Arial" w:hAnsi="Arial"/>
                <w:color w:val="2C2C2C"/>
                <w:sz w:val="19"/>
              </w:rPr>
              <w:t>20.65%</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8B8E2E7" w14:textId="77777777" w:rsidR="00593F91" w:rsidRDefault="00593F91" w:rsidP="00155891">
            <w:pPr>
              <w:jc w:val="center"/>
            </w:pPr>
            <w:r>
              <w:rPr>
                <w:rFonts w:ascii="Arial" w:hAnsi="Arial"/>
                <w:color w:val="2C2C2C"/>
                <w:sz w:val="19"/>
              </w:rPr>
              <w:t>42.5%</w:t>
            </w:r>
          </w:p>
        </w:tc>
        <w:tc>
          <w:tcPr>
            <w:tcW w:w="11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7E597C0" w14:textId="77777777" w:rsidR="00593F91" w:rsidRDefault="00593F91" w:rsidP="00155891">
            <w:pPr>
              <w:jc w:val="center"/>
            </w:pPr>
            <w:r>
              <w:rPr>
                <w:rFonts w:ascii="Arial" w:hAnsi="Arial"/>
                <w:color w:val="2C2C2C"/>
                <w:sz w:val="19"/>
              </w:rPr>
              <w:t>0.652</w:t>
            </w:r>
          </w:p>
        </w:tc>
        <w:tc>
          <w:tcPr>
            <w:tcW w:w="12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DFB86CD" w14:textId="77777777" w:rsidR="00593F91" w:rsidRDefault="00593F91" w:rsidP="00155891">
            <w:pPr>
              <w:jc w:val="center"/>
            </w:pPr>
            <w:r>
              <w:rPr>
                <w:rFonts w:ascii="Arial" w:hAnsi="Arial"/>
                <w:color w:val="1A6B3A"/>
                <w:sz w:val="19"/>
              </w:rPr>
              <w:t>+14.6%</w:t>
            </w:r>
          </w:p>
        </w:tc>
      </w:tr>
      <w:tr w:rsidR="00593F91" w14:paraId="36B3253C"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A47B49C" w14:textId="77777777" w:rsidR="00593F91" w:rsidRDefault="00593F91" w:rsidP="00155891">
            <w:pPr>
              <w:jc w:val="center"/>
            </w:pPr>
            <w:r>
              <w:rPr>
                <w:rFonts w:ascii="Arial" w:hAnsi="Arial"/>
                <w:b/>
                <w:color w:val="2C2C2C"/>
                <w:sz w:val="19"/>
              </w:rPr>
              <w:t>AEP</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BE8A99B" w14:textId="77777777" w:rsidR="00593F91" w:rsidRDefault="00593F91" w:rsidP="00155891">
            <w:pPr>
              <w:jc w:val="center"/>
            </w:pPr>
            <w:r>
              <w:rPr>
                <w:rFonts w:ascii="Arial" w:hAnsi="Arial"/>
                <w:color w:val="2C2C2C"/>
                <w:sz w:val="19"/>
              </w:rPr>
              <w:t>0.660</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7BF461E" w14:textId="77777777" w:rsidR="00593F91" w:rsidRDefault="00593F91" w:rsidP="00155891">
            <w:pPr>
              <w:jc w:val="center"/>
            </w:pPr>
            <w:r>
              <w:rPr>
                <w:rFonts w:ascii="Arial" w:hAnsi="Arial"/>
                <w:color w:val="2C2C2C"/>
                <w:sz w:val="19"/>
              </w:rPr>
              <w:t>19.05%</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FF1F08B" w14:textId="77777777" w:rsidR="00593F91" w:rsidRDefault="00593F91" w:rsidP="00155891">
            <w:pPr>
              <w:jc w:val="center"/>
            </w:pPr>
            <w:r>
              <w:rPr>
                <w:rFonts w:ascii="Arial" w:hAnsi="Arial"/>
                <w:color w:val="2C2C2C"/>
                <w:sz w:val="19"/>
              </w:rPr>
              <w:t>9.88%</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FA60A3D" w14:textId="77777777" w:rsidR="00593F91" w:rsidRDefault="00593F91" w:rsidP="00155891">
            <w:pPr>
              <w:jc w:val="center"/>
            </w:pPr>
            <w:r>
              <w:rPr>
                <w:rFonts w:ascii="Arial" w:hAnsi="Arial"/>
                <w:color w:val="2C2C2C"/>
                <w:sz w:val="19"/>
              </w:rPr>
              <w:t>31.66%</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FE3CF35" w14:textId="77777777" w:rsidR="00593F91" w:rsidRDefault="00593F91" w:rsidP="00155891">
            <w:pPr>
              <w:jc w:val="center"/>
            </w:pPr>
            <w:r>
              <w:rPr>
                <w:rFonts w:ascii="Arial" w:hAnsi="Arial"/>
                <w:color w:val="2C2C2C"/>
                <w:sz w:val="19"/>
              </w:rPr>
              <w:t>26.9%</w:t>
            </w:r>
          </w:p>
        </w:tc>
        <w:tc>
          <w:tcPr>
            <w:tcW w:w="11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190E047" w14:textId="77777777" w:rsidR="00593F91" w:rsidRDefault="00593F91" w:rsidP="00155891">
            <w:pPr>
              <w:jc w:val="center"/>
            </w:pPr>
            <w:r>
              <w:rPr>
                <w:rFonts w:ascii="Arial" w:hAnsi="Arial"/>
                <w:color w:val="2C2C2C"/>
                <w:sz w:val="19"/>
              </w:rPr>
              <w:t>0.518</w:t>
            </w:r>
          </w:p>
        </w:tc>
        <w:tc>
          <w:tcPr>
            <w:tcW w:w="12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DF8A3DD" w14:textId="77777777" w:rsidR="00593F91" w:rsidRDefault="00593F91" w:rsidP="00155891">
            <w:pPr>
              <w:jc w:val="center"/>
            </w:pPr>
            <w:r>
              <w:rPr>
                <w:rFonts w:ascii="Arial" w:hAnsi="Arial"/>
                <w:color w:val="1A6B3A"/>
                <w:sz w:val="19"/>
              </w:rPr>
              <w:t>+1.9%</w:t>
            </w:r>
          </w:p>
        </w:tc>
      </w:tr>
      <w:tr w:rsidR="00593F91" w14:paraId="04F4D439"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1A84CDF" w14:textId="77777777" w:rsidR="00593F91" w:rsidRDefault="00593F91" w:rsidP="00155891">
            <w:pPr>
              <w:jc w:val="center"/>
            </w:pPr>
            <w:r>
              <w:rPr>
                <w:rFonts w:ascii="Arial" w:hAnsi="Arial"/>
                <w:b/>
                <w:color w:val="2C2C2C"/>
                <w:sz w:val="19"/>
              </w:rPr>
              <w:t>SBGSY</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099CF9F" w14:textId="77777777" w:rsidR="00593F91" w:rsidRDefault="00593F91" w:rsidP="00155891">
            <w:pPr>
              <w:jc w:val="center"/>
            </w:pPr>
            <w:r>
              <w:rPr>
                <w:rFonts w:ascii="Arial" w:hAnsi="Arial"/>
                <w:color w:val="2C2C2C"/>
                <w:sz w:val="19"/>
              </w:rPr>
              <w:t>1.216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7BEBA9D" w14:textId="77777777" w:rsidR="00593F91" w:rsidRDefault="00593F91" w:rsidP="00155891">
            <w:pPr>
              <w:jc w:val="center"/>
            </w:pPr>
            <w:r>
              <w:rPr>
                <w:rFonts w:ascii="Arial" w:hAnsi="Arial"/>
                <w:color w:val="2C2C2C"/>
                <w:sz w:val="19"/>
              </w:rPr>
              <w:t>30.69%</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B09E72F" w14:textId="77777777" w:rsidR="00593F91" w:rsidRDefault="00593F91" w:rsidP="00155891">
            <w:pPr>
              <w:jc w:val="center"/>
            </w:pPr>
            <w:r>
              <w:rPr>
                <w:rFonts w:ascii="Arial" w:hAnsi="Arial"/>
                <w:color w:val="2C2C2C"/>
                <w:sz w:val="19"/>
              </w:rPr>
              <w:t>25.69%</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5F6ECBA" w14:textId="77777777" w:rsidR="00593F91" w:rsidRDefault="00593F91" w:rsidP="00155891">
            <w:pPr>
              <w:jc w:val="center"/>
            </w:pPr>
            <w:r>
              <w:rPr>
                <w:rFonts w:ascii="Arial" w:hAnsi="Arial"/>
                <w:color w:val="2C2C2C"/>
                <w:sz w:val="19"/>
              </w:rPr>
              <w:t>16.79%</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CE453FF" w14:textId="77777777" w:rsidR="00593F91" w:rsidRDefault="00593F91" w:rsidP="00155891">
            <w:pPr>
              <w:jc w:val="center"/>
            </w:pPr>
            <w:r>
              <w:rPr>
                <w:rFonts w:ascii="Arial" w:hAnsi="Arial"/>
                <w:color w:val="2C2C2C"/>
                <w:sz w:val="19"/>
              </w:rPr>
              <w:t>70.1%</w:t>
            </w:r>
          </w:p>
        </w:tc>
        <w:tc>
          <w:tcPr>
            <w:tcW w:w="11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E77087F" w14:textId="77777777" w:rsidR="00593F91" w:rsidRDefault="00593F91" w:rsidP="00155891">
            <w:pPr>
              <w:jc w:val="center"/>
            </w:pPr>
            <w:r>
              <w:rPr>
                <w:rFonts w:ascii="Arial" w:hAnsi="Arial"/>
                <w:color w:val="2C2C2C"/>
                <w:sz w:val="19"/>
              </w:rPr>
              <w:t>0.837</w:t>
            </w:r>
          </w:p>
        </w:tc>
        <w:tc>
          <w:tcPr>
            <w:tcW w:w="12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78DC615" w14:textId="77777777" w:rsidR="00593F91" w:rsidRDefault="00593F91" w:rsidP="00155891">
            <w:pPr>
              <w:jc w:val="center"/>
            </w:pPr>
            <w:r>
              <w:rPr>
                <w:rFonts w:ascii="Arial" w:hAnsi="Arial"/>
                <w:color w:val="1A6B3A"/>
                <w:sz w:val="19"/>
              </w:rPr>
              <w:t>+23.4%</w:t>
            </w:r>
          </w:p>
        </w:tc>
      </w:tr>
      <w:tr w:rsidR="00593F91" w14:paraId="58855C0E"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F7E31D9" w14:textId="77777777" w:rsidR="00593F91" w:rsidRDefault="00593F91" w:rsidP="00155891">
            <w:pPr>
              <w:jc w:val="center"/>
            </w:pPr>
            <w:r>
              <w:rPr>
                <w:rFonts w:ascii="Arial" w:hAnsi="Arial"/>
                <w:b/>
                <w:color w:val="2C2C2C"/>
                <w:sz w:val="19"/>
              </w:rPr>
              <w:t>NVT</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74B32F0" w14:textId="77777777" w:rsidR="00593F91" w:rsidRDefault="00593F91" w:rsidP="00155891">
            <w:pPr>
              <w:jc w:val="center"/>
            </w:pPr>
            <w:r>
              <w:rPr>
                <w:rFonts w:ascii="Arial" w:hAnsi="Arial"/>
                <w:color w:val="2C2C2C"/>
                <w:sz w:val="19"/>
              </w:rPr>
              <w:t>1.300</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AEE0A9C" w14:textId="77777777" w:rsidR="00593F91" w:rsidRDefault="00593F91" w:rsidP="00155891">
            <w:pPr>
              <w:jc w:val="center"/>
            </w:pPr>
            <w:r>
              <w:rPr>
                <w:rFonts w:ascii="Arial" w:hAnsi="Arial"/>
                <w:color w:val="2C2C2C"/>
                <w:sz w:val="19"/>
              </w:rPr>
              <w:t>30.02%</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919F251" w14:textId="77777777" w:rsidR="00593F91" w:rsidRDefault="00593F91" w:rsidP="00155891">
            <w:pPr>
              <w:jc w:val="center"/>
            </w:pPr>
            <w:r>
              <w:rPr>
                <w:rFonts w:ascii="Arial" w:hAnsi="Arial"/>
                <w:color w:val="2C2C2C"/>
                <w:sz w:val="19"/>
              </w:rPr>
              <w:t>19.46%</w:t>
            </w:r>
          </w:p>
        </w:tc>
        <w:tc>
          <w:tcPr>
            <w:tcW w:w="12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371D9A0" w14:textId="77777777" w:rsidR="00593F91" w:rsidRDefault="00593F91" w:rsidP="00155891">
            <w:pPr>
              <w:jc w:val="center"/>
            </w:pPr>
            <w:r>
              <w:rPr>
                <w:rFonts w:ascii="Arial" w:hAnsi="Arial"/>
                <w:color w:val="2C2C2C"/>
                <w:sz w:val="19"/>
              </w:rPr>
              <w:t>22.86%</w:t>
            </w:r>
          </w:p>
        </w:tc>
        <w:tc>
          <w:tcPr>
            <w:tcW w:w="11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1B6C4EA" w14:textId="77777777" w:rsidR="00593F91" w:rsidRDefault="00593F91" w:rsidP="00155891">
            <w:pPr>
              <w:jc w:val="center"/>
            </w:pPr>
            <w:r>
              <w:rPr>
                <w:rFonts w:ascii="Arial" w:hAnsi="Arial"/>
                <w:color w:val="2C2C2C"/>
                <w:sz w:val="19"/>
              </w:rPr>
              <w:t>42.0%</w:t>
            </w:r>
          </w:p>
        </w:tc>
        <w:tc>
          <w:tcPr>
            <w:tcW w:w="11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BAD0D29" w14:textId="77777777" w:rsidR="00593F91" w:rsidRDefault="00593F91" w:rsidP="00155891">
            <w:pPr>
              <w:jc w:val="center"/>
            </w:pPr>
            <w:r>
              <w:rPr>
                <w:rFonts w:ascii="Arial" w:hAnsi="Arial"/>
                <w:color w:val="2C2C2C"/>
                <w:sz w:val="19"/>
              </w:rPr>
              <w:t>0.648</w:t>
            </w:r>
          </w:p>
        </w:tc>
        <w:tc>
          <w:tcPr>
            <w:tcW w:w="12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8DEDB07" w14:textId="77777777" w:rsidR="00593F91" w:rsidRDefault="00593F91" w:rsidP="00155891">
            <w:pPr>
              <w:jc w:val="center"/>
            </w:pPr>
            <w:r>
              <w:rPr>
                <w:rFonts w:ascii="Arial" w:hAnsi="Arial"/>
                <w:color w:val="1A6B3A"/>
                <w:sz w:val="19"/>
              </w:rPr>
              <w:t>+17.8%</w:t>
            </w:r>
          </w:p>
        </w:tc>
      </w:tr>
      <w:tr w:rsidR="00593F91" w14:paraId="337CDCD7"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F296DFD" w14:textId="77777777" w:rsidR="00593F91" w:rsidRDefault="00593F91" w:rsidP="00155891">
            <w:pPr>
              <w:jc w:val="center"/>
            </w:pPr>
            <w:r>
              <w:rPr>
                <w:rFonts w:ascii="Arial" w:hAnsi="Arial"/>
                <w:b/>
                <w:color w:val="2C2C2C"/>
                <w:sz w:val="19"/>
              </w:rPr>
              <w:t>HUBB</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36D41C6" w14:textId="77777777" w:rsidR="00593F91" w:rsidRDefault="00593F91" w:rsidP="00155891">
            <w:pPr>
              <w:jc w:val="center"/>
            </w:pPr>
            <w:r>
              <w:rPr>
                <w:rFonts w:ascii="Arial" w:hAnsi="Arial"/>
                <w:color w:val="2C2C2C"/>
                <w:sz w:val="19"/>
              </w:rPr>
              <w:t>0.986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18131FA" w14:textId="77777777" w:rsidR="00593F91" w:rsidRDefault="00593F91" w:rsidP="00155891">
            <w:pPr>
              <w:jc w:val="center"/>
            </w:pPr>
            <w:r>
              <w:rPr>
                <w:rFonts w:ascii="Arial" w:hAnsi="Arial"/>
                <w:color w:val="2C2C2C"/>
                <w:sz w:val="19"/>
              </w:rPr>
              <w:t>27.72%</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46736FC" w14:textId="77777777" w:rsidR="00593F91" w:rsidRDefault="00593F91" w:rsidP="00155891">
            <w:pPr>
              <w:jc w:val="center"/>
            </w:pPr>
            <w:r>
              <w:rPr>
                <w:rFonts w:ascii="Arial" w:hAnsi="Arial"/>
                <w:color w:val="2C2C2C"/>
                <w:sz w:val="19"/>
              </w:rPr>
              <w:t>14.76%</w:t>
            </w:r>
          </w:p>
        </w:tc>
        <w:tc>
          <w:tcPr>
            <w:tcW w:w="12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6B5425A" w14:textId="77777777" w:rsidR="00593F91" w:rsidRDefault="00593F91" w:rsidP="00155891">
            <w:pPr>
              <w:jc w:val="center"/>
            </w:pPr>
            <w:r>
              <w:rPr>
                <w:rFonts w:ascii="Arial" w:hAnsi="Arial"/>
                <w:color w:val="2C2C2C"/>
                <w:sz w:val="19"/>
              </w:rPr>
              <w:t>36.83%</w:t>
            </w:r>
          </w:p>
        </w:tc>
        <w:tc>
          <w:tcPr>
            <w:tcW w:w="11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2BF6A9C" w14:textId="77777777" w:rsidR="00593F91" w:rsidRDefault="00593F91" w:rsidP="00155891">
            <w:pPr>
              <w:jc w:val="center"/>
            </w:pPr>
            <w:r>
              <w:rPr>
                <w:rFonts w:ascii="Arial" w:hAnsi="Arial"/>
                <w:color w:val="2C2C2C"/>
                <w:sz w:val="19"/>
              </w:rPr>
              <w:t>28.4%</w:t>
            </w:r>
          </w:p>
        </w:tc>
        <w:tc>
          <w:tcPr>
            <w:tcW w:w="11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469BC70" w14:textId="77777777" w:rsidR="00593F91" w:rsidRDefault="00593F91" w:rsidP="00155891">
            <w:pPr>
              <w:jc w:val="center"/>
            </w:pPr>
            <w:r>
              <w:rPr>
                <w:rFonts w:ascii="Arial" w:hAnsi="Arial"/>
                <w:color w:val="2C2C2C"/>
                <w:sz w:val="19"/>
              </w:rPr>
              <w:t>0.533</w:t>
            </w:r>
          </w:p>
        </w:tc>
        <w:tc>
          <w:tcPr>
            <w:tcW w:w="12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76EDF64" w14:textId="77777777" w:rsidR="00593F91" w:rsidRDefault="00593F91" w:rsidP="00155891">
            <w:pPr>
              <w:jc w:val="center"/>
            </w:pPr>
            <w:r>
              <w:rPr>
                <w:rFonts w:ascii="Arial" w:hAnsi="Arial"/>
                <w:color w:val="1A6B3A"/>
                <w:sz w:val="19"/>
              </w:rPr>
              <w:t>+7.3%</w:t>
            </w:r>
          </w:p>
        </w:tc>
      </w:tr>
      <w:tr w:rsidR="00593F91" w14:paraId="1B7D5A3F" w14:textId="77777777" w:rsidTr="00593F91">
        <w:tblPrEx>
          <w:tblCellMar>
            <w:top w:w="0" w:type="dxa"/>
            <w:bottom w:w="0" w:type="dxa"/>
          </w:tblCellMar>
        </w:tblPrEx>
        <w:trPr>
          <w:jc w:val="center"/>
        </w:trPr>
        <w:tc>
          <w:tcPr>
            <w:tcW w:w="11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5830F1F4" w14:textId="77777777" w:rsidR="00593F91" w:rsidRDefault="00593F91" w:rsidP="00155891">
            <w:pPr>
              <w:jc w:val="center"/>
            </w:pPr>
            <w:r>
              <w:rPr>
                <w:rFonts w:ascii="Arial" w:hAnsi="Arial"/>
                <w:b/>
                <w:color w:val="2C2C2C"/>
                <w:sz w:val="19"/>
              </w:rPr>
              <w:t>MLI</w:t>
            </w:r>
          </w:p>
        </w:tc>
        <w:tc>
          <w:tcPr>
            <w:tcW w:w="11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68BF1347" w14:textId="77777777" w:rsidR="00593F91" w:rsidRDefault="00593F91" w:rsidP="00155891">
            <w:pPr>
              <w:jc w:val="center"/>
            </w:pPr>
            <w:r>
              <w:rPr>
                <w:rFonts w:ascii="Arial" w:hAnsi="Arial"/>
                <w:color w:val="2C2C2C"/>
                <w:sz w:val="19"/>
              </w:rPr>
              <w:t>1.064</w:t>
            </w:r>
          </w:p>
        </w:tc>
        <w:tc>
          <w:tcPr>
            <w:tcW w:w="12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05536B61" w14:textId="77777777" w:rsidR="00593F91" w:rsidRDefault="00593F91" w:rsidP="00155891">
            <w:pPr>
              <w:jc w:val="center"/>
            </w:pPr>
            <w:r>
              <w:rPr>
                <w:rFonts w:ascii="Arial" w:hAnsi="Arial"/>
                <w:color w:val="2C2C2C"/>
                <w:sz w:val="19"/>
              </w:rPr>
              <w:t>30.96%</w:t>
            </w:r>
          </w:p>
        </w:tc>
        <w:tc>
          <w:tcPr>
            <w:tcW w:w="12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6C4B20E2" w14:textId="77777777" w:rsidR="00593F91" w:rsidRDefault="00593F91" w:rsidP="00155891">
            <w:pPr>
              <w:jc w:val="center"/>
            </w:pPr>
            <w:r>
              <w:rPr>
                <w:rFonts w:ascii="Arial" w:hAnsi="Arial"/>
                <w:color w:val="2C2C2C"/>
                <w:sz w:val="19"/>
              </w:rPr>
              <w:t>15.93%</w:t>
            </w:r>
          </w:p>
        </w:tc>
        <w:tc>
          <w:tcPr>
            <w:tcW w:w="12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1939643B" w14:textId="77777777" w:rsidR="00593F91" w:rsidRDefault="00593F91" w:rsidP="00155891">
            <w:pPr>
              <w:jc w:val="center"/>
            </w:pPr>
            <w:r>
              <w:rPr>
                <w:rFonts w:ascii="Arial" w:hAnsi="Arial"/>
                <w:color w:val="2C2C2C"/>
                <w:sz w:val="19"/>
              </w:rPr>
              <w:t>37.88%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49C6F516" w14:textId="77777777" w:rsidR="00593F91" w:rsidRDefault="00593F91" w:rsidP="00155891">
            <w:pPr>
              <w:jc w:val="center"/>
            </w:pPr>
            <w:r>
              <w:rPr>
                <w:rFonts w:ascii="Arial" w:hAnsi="Arial"/>
                <w:color w:val="2C2C2C"/>
                <w:sz w:val="19"/>
              </w:rPr>
              <w:t>26.5%</w:t>
            </w:r>
          </w:p>
        </w:tc>
        <w:tc>
          <w:tcPr>
            <w:tcW w:w="118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70B53C09" w14:textId="77777777" w:rsidR="00593F91" w:rsidRDefault="00593F91" w:rsidP="00155891">
            <w:pPr>
              <w:jc w:val="center"/>
            </w:pPr>
            <w:r>
              <w:rPr>
                <w:rFonts w:ascii="Arial" w:hAnsi="Arial"/>
                <w:color w:val="2C2C2C"/>
                <w:sz w:val="19"/>
              </w:rPr>
              <w:t>0.514</w:t>
            </w:r>
          </w:p>
        </w:tc>
        <w:tc>
          <w:tcPr>
            <w:tcW w:w="128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73CD0673" w14:textId="77777777" w:rsidR="00593F91" w:rsidRDefault="00593F91" w:rsidP="00155891">
            <w:pPr>
              <w:jc w:val="center"/>
            </w:pPr>
            <w:r>
              <w:rPr>
                <w:rFonts w:ascii="Arial" w:hAnsi="Arial"/>
                <w:color w:val="1A6B3A"/>
                <w:sz w:val="19"/>
              </w:rPr>
              <w:t>+21.1%</w:t>
            </w:r>
          </w:p>
        </w:tc>
      </w:tr>
    </w:tbl>
    <w:p w14:paraId="3D8CEB3C" w14:textId="77777777" w:rsidR="00593F91" w:rsidRDefault="00593F91" w:rsidP="00416C21">
      <w:pPr>
        <w:spacing w:before="30" w:after="100"/>
        <w:jc w:val="center"/>
        <w:rPr>
          <w:rFonts w:ascii="Arial" w:eastAsia="Arial" w:hAnsi="Arial" w:cs="Arial"/>
          <w:color w:val="666666"/>
          <w:sz w:val="17"/>
          <w:lang w:val="en-CA"/>
        </w:rPr>
      </w:pPr>
    </w:p>
    <w:p w14:paraId="07DBD142" w14:textId="77777777" w:rsidR="00593F91" w:rsidRDefault="00593F91" w:rsidP="00593F91">
      <w:pPr>
        <w:spacing w:before="30" w:after="100"/>
        <w:jc w:val="center"/>
      </w:pPr>
      <w:r w:rsidRPr="00593F91">
        <w:rPr>
          <w:rFonts w:ascii="Arial" w:eastAsia="Arial" w:hAnsi="Arial" w:cs="Arial"/>
          <w:color w:val="666666"/>
          <w:sz w:val="17"/>
          <w:lang w:val="en-CA"/>
        </w:rPr>
        <w:t xml:space="preserve">Table </w:t>
      </w:r>
      <w:proofErr w:type="gramStart"/>
      <w:r w:rsidRPr="00593F91">
        <w:rPr>
          <w:rFonts w:ascii="Arial" w:eastAsia="Arial" w:hAnsi="Arial" w:cs="Arial"/>
          <w:color w:val="666666"/>
          <w:sz w:val="17"/>
          <w:lang w:val="en-CA"/>
        </w:rPr>
        <w:t>5.1  -</w:t>
      </w:r>
      <w:proofErr w:type="gramEnd"/>
      <w:r w:rsidRPr="00593F91">
        <w:rPr>
          <w:rFonts w:ascii="Arial" w:eastAsia="Arial" w:hAnsi="Arial" w:cs="Arial"/>
          <w:color w:val="666666"/>
          <w:sz w:val="17"/>
          <w:lang w:val="en-CA"/>
        </w:rPr>
        <w:t xml:space="preserve">  Risk Decomposition: Systematic vs. Idiosyncratic Component per Security. R2 measures the fraction of total variance explained by the ACWI index. AEE/WEC/HUBB: low Beta and low R2 confirm defensive, market-independent behaviour. </w:t>
      </w:r>
      <w:r>
        <w:rPr>
          <w:rFonts w:ascii="Arial" w:eastAsia="Arial" w:hAnsi="Arial" w:cs="Arial"/>
          <w:color w:val="666666"/>
          <w:sz w:val="17"/>
        </w:rPr>
        <w:t>Source: Panel A/C, ACWI_index_FV.xlsx.</w:t>
      </w:r>
    </w:p>
    <w:p w14:paraId="2CF974D1" w14:textId="6344483A" w:rsidR="00416C21" w:rsidRDefault="00593F91" w:rsidP="00593F91">
      <w:pPr>
        <w:jc w:val="center"/>
        <w:rPr>
          <w:lang w:val="en-CA"/>
        </w:rPr>
      </w:pPr>
      <w:r>
        <w:rPr>
          <w:noProof/>
        </w:rPr>
        <w:lastRenderedPageBreak/>
        <w:drawing>
          <wp:inline distT="0" distB="0" distL="0" distR="0" wp14:anchorId="4D93CBB6" wp14:editId="39FADB83">
            <wp:extent cx="6496050" cy="3248025"/>
            <wp:effectExtent l="0" t="0" r="0" b="0"/>
            <wp:docPr id="1567079747" name="Picture 1567079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6496050" cy="3248025"/>
                    </a:xfrm>
                    <a:prstGeom prst="rect">
                      <a:avLst/>
                    </a:prstGeom>
                  </pic:spPr>
                </pic:pic>
              </a:graphicData>
            </a:graphic>
          </wp:inline>
        </w:drawing>
      </w:r>
    </w:p>
    <w:p w14:paraId="489ABB0D" w14:textId="77777777" w:rsidR="00593F91" w:rsidRDefault="00593F91" w:rsidP="00593F91">
      <w:pPr>
        <w:spacing w:before="30" w:after="100"/>
        <w:jc w:val="center"/>
      </w:pPr>
      <w:r w:rsidRPr="00593F91">
        <w:rPr>
          <w:rFonts w:ascii="Arial" w:eastAsia="Arial" w:hAnsi="Arial" w:cs="Arial"/>
          <w:color w:val="666666"/>
          <w:sz w:val="17"/>
          <w:lang w:val="en-CA"/>
        </w:rPr>
        <w:t xml:space="preserve">Figure </w:t>
      </w:r>
      <w:proofErr w:type="gramStart"/>
      <w:r w:rsidRPr="00593F91">
        <w:rPr>
          <w:rFonts w:ascii="Arial" w:eastAsia="Arial" w:hAnsi="Arial" w:cs="Arial"/>
          <w:color w:val="666666"/>
          <w:sz w:val="17"/>
          <w:lang w:val="en-CA"/>
        </w:rPr>
        <w:t>5.1  -</w:t>
      </w:r>
      <w:proofErr w:type="gramEnd"/>
      <w:r w:rsidRPr="00593F91">
        <w:rPr>
          <w:rFonts w:ascii="Arial" w:eastAsia="Arial" w:hAnsi="Arial" w:cs="Arial"/>
          <w:color w:val="666666"/>
          <w:sz w:val="17"/>
          <w:lang w:val="en-CA"/>
        </w:rPr>
        <w:t xml:space="preserve">  Systematic vs. Idiosyncratic Risk Decomposition (annualised). AEE, WEC, and HUBB exhibit the lowest systematic risk, functioning as volatility-dampening anchors. PWR and SBGSY carry higher total risk but are compensated by their elevated alpha. </w:t>
      </w:r>
      <w:r>
        <w:rPr>
          <w:rFonts w:ascii="Arial" w:eastAsia="Arial" w:hAnsi="Arial" w:cs="Arial"/>
          <w:color w:val="666666"/>
          <w:sz w:val="17"/>
        </w:rPr>
        <w:t>Source: Panel A, ACWI_index_FV.xlsx.</w:t>
      </w:r>
    </w:p>
    <w:p w14:paraId="727C5733" w14:textId="77777777" w:rsidR="00416C21" w:rsidRDefault="00416C21" w:rsidP="00416C21">
      <w:pPr>
        <w:rPr>
          <w:lang w:val="en-CA"/>
        </w:rPr>
      </w:pPr>
    </w:p>
    <w:p w14:paraId="5C6FA300" w14:textId="77777777" w:rsidR="00416C21" w:rsidRDefault="00416C21" w:rsidP="00416C21">
      <w:pPr>
        <w:rPr>
          <w:lang w:val="en-CA"/>
        </w:rPr>
      </w:pPr>
    </w:p>
    <w:p w14:paraId="74EBE42D" w14:textId="77777777" w:rsidR="00416C21" w:rsidRDefault="00416C21" w:rsidP="00416C21">
      <w:pPr>
        <w:rPr>
          <w:lang w:val="en-CA"/>
        </w:rPr>
      </w:pPr>
    </w:p>
    <w:p w14:paraId="7053D9A9" w14:textId="77777777" w:rsidR="00416C21" w:rsidRDefault="00416C21" w:rsidP="00416C21">
      <w:pPr>
        <w:rPr>
          <w:lang w:val="en-CA"/>
        </w:rPr>
      </w:pPr>
    </w:p>
    <w:p w14:paraId="246A156D" w14:textId="24166C06" w:rsidR="00416C21" w:rsidRDefault="0031551F" w:rsidP="00416C21">
      <w:pPr>
        <w:rPr>
          <w:lang w:val="en-CA"/>
        </w:rPr>
      </w:pPr>
      <w:r>
        <w:rPr>
          <w:noProof/>
        </w:rPr>
        <w:drawing>
          <wp:inline distT="0" distB="0" distL="0" distR="0" wp14:anchorId="0B3ADFED" wp14:editId="6CAD2DFC">
            <wp:extent cx="6496050" cy="3838575"/>
            <wp:effectExtent l="0" t="0" r="0" b="0"/>
            <wp:docPr id="251560827" name="Picture 251560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6496050" cy="3838575"/>
                    </a:xfrm>
                    <a:prstGeom prst="rect">
                      <a:avLst/>
                    </a:prstGeom>
                  </pic:spPr>
                </pic:pic>
              </a:graphicData>
            </a:graphic>
          </wp:inline>
        </w:drawing>
      </w:r>
    </w:p>
    <w:p w14:paraId="4F15720F" w14:textId="77777777" w:rsidR="0031551F" w:rsidRPr="0031551F" w:rsidRDefault="0031551F" w:rsidP="0031551F">
      <w:pPr>
        <w:spacing w:before="30" w:after="100"/>
        <w:jc w:val="center"/>
        <w:rPr>
          <w:lang w:val="en-CA"/>
        </w:rPr>
      </w:pPr>
      <w:r w:rsidRPr="0031551F">
        <w:rPr>
          <w:rFonts w:ascii="Arial" w:eastAsia="Arial" w:hAnsi="Arial" w:cs="Arial"/>
          <w:color w:val="666666"/>
          <w:sz w:val="17"/>
          <w:lang w:val="en-CA"/>
        </w:rPr>
        <w:t xml:space="preserve">Figure </w:t>
      </w:r>
      <w:proofErr w:type="gramStart"/>
      <w:r w:rsidRPr="0031551F">
        <w:rPr>
          <w:rFonts w:ascii="Arial" w:eastAsia="Arial" w:hAnsi="Arial" w:cs="Arial"/>
          <w:color w:val="666666"/>
          <w:sz w:val="17"/>
          <w:lang w:val="en-CA"/>
        </w:rPr>
        <w:t>5.2  -</w:t>
      </w:r>
      <w:proofErr w:type="gramEnd"/>
      <w:r w:rsidRPr="0031551F">
        <w:rPr>
          <w:rFonts w:ascii="Arial" w:eastAsia="Arial" w:hAnsi="Arial" w:cs="Arial"/>
          <w:color w:val="666666"/>
          <w:sz w:val="17"/>
          <w:lang w:val="en-CA"/>
        </w:rPr>
        <w:t xml:space="preserve">  Risk-Return Map: Full GRID Universe. Bubble size proportional to active weight. The gold diamond (Complete Portfolio C) lies on the CAL at the optimal point, confirming portfolio construction accuracy. Source: Data. Securities &amp; Capital Allocation sheets, GRID_index.xlsx.</w:t>
      </w:r>
    </w:p>
    <w:p w14:paraId="17E99FAA" w14:textId="794D0120" w:rsidR="00946D3C" w:rsidRDefault="00175B2B" w:rsidP="00946D3C">
      <w:pPr>
        <w:pStyle w:val="Heading3"/>
      </w:pPr>
      <w:bookmarkStart w:id="39" w:name="_Toc227618175"/>
      <w:r>
        <w:rPr>
          <w:rFonts w:eastAsia="Arial"/>
        </w:rPr>
        <w:lastRenderedPageBreak/>
        <w:t>5.2 Correlation</w:t>
      </w:r>
      <w:r w:rsidR="0031551F">
        <w:rPr>
          <w:rFonts w:eastAsia="Arial"/>
        </w:rPr>
        <w:t xml:space="preserve"> Structure</w:t>
      </w:r>
      <w:bookmarkEnd w:id="39"/>
    </w:p>
    <w:p w14:paraId="716C0BAC" w14:textId="1209AAC9" w:rsidR="00946D3C" w:rsidRPr="00946D3C" w:rsidRDefault="00946D3C" w:rsidP="00946D3C">
      <w:pPr>
        <w:rPr>
          <w:rFonts w:eastAsiaTheme="majorEastAsia" w:cstheme="majorBidi"/>
          <w:b/>
          <w:color w:val="215E99" w:themeColor="text2" w:themeTint="BF"/>
          <w:kern w:val="2"/>
          <w:sz w:val="28"/>
          <w:szCs w:val="28"/>
          <w14:ligatures w14:val="standardContextual"/>
        </w:rPr>
      </w:pPr>
      <w:r w:rsidRPr="00946D3C">
        <w:t>The Panel B correlation matrix reveals that all securities are positively correlated with each other and with the ACWI index, reflecting their shared systematic exposure to the energy infrastructure theme. The key correlations are:</w:t>
      </w:r>
    </w:p>
    <w:p w14:paraId="5908A983" w14:textId="5D79E7BC" w:rsidR="00946D3C" w:rsidRPr="00946D3C" w:rsidRDefault="00946D3C" w:rsidP="00946D3C">
      <w:pPr>
        <w:pStyle w:val="ListParagraph"/>
        <w:numPr>
          <w:ilvl w:val="0"/>
          <w:numId w:val="8"/>
        </w:numPr>
      </w:pPr>
      <w:r w:rsidRPr="00946D3C">
        <w:t xml:space="preserve">ACWI vs. SBGSY: </w:t>
      </w:r>
      <w:proofErr w:type="gramStart"/>
      <w:r w:rsidRPr="00946D3C">
        <w:t>0.837  -</w:t>
      </w:r>
      <w:proofErr w:type="gramEnd"/>
      <w:r w:rsidRPr="00946D3C">
        <w:t xml:space="preserve">  highest pairwise correlation, reflecting Schneider's direct smart grid exposure mirroring the index;</w:t>
      </w:r>
    </w:p>
    <w:p w14:paraId="3C5BF350" w14:textId="0C75DF15" w:rsidR="00946D3C" w:rsidRPr="00946D3C" w:rsidRDefault="00946D3C" w:rsidP="00946D3C">
      <w:pPr>
        <w:pStyle w:val="ListParagraph"/>
        <w:numPr>
          <w:ilvl w:val="0"/>
          <w:numId w:val="8"/>
        </w:numPr>
      </w:pPr>
      <w:r w:rsidRPr="00946D3C">
        <w:t xml:space="preserve">ACWI vs. ETN: </w:t>
      </w:r>
      <w:proofErr w:type="gramStart"/>
      <w:r w:rsidRPr="00946D3C">
        <w:t>0.652  -</w:t>
      </w:r>
      <w:proofErr w:type="gramEnd"/>
      <w:r w:rsidRPr="00946D3C">
        <w:t xml:space="preserve">  moderate correlation; now a long position (adj. α flipped positive); negative alpha within this highly correlated framework;</w:t>
      </w:r>
    </w:p>
    <w:p w14:paraId="2E920D0B" w14:textId="799A5E8C" w:rsidR="00946D3C" w:rsidRPr="00946D3C" w:rsidRDefault="00946D3C" w:rsidP="00946D3C">
      <w:pPr>
        <w:pStyle w:val="ListParagraph"/>
        <w:numPr>
          <w:ilvl w:val="0"/>
          <w:numId w:val="8"/>
        </w:numPr>
      </w:pPr>
      <w:r w:rsidRPr="00946D3C">
        <w:t xml:space="preserve">ACWI vs. AEP: </w:t>
      </w:r>
      <w:proofErr w:type="gramStart"/>
      <w:r w:rsidRPr="00946D3C">
        <w:t>0.518  -</w:t>
      </w:r>
      <w:proofErr w:type="gramEnd"/>
      <w:r w:rsidRPr="00946D3C">
        <w:t xml:space="preserve">  lowest correlation with ACWI index among long positions, confirming AEE's diversification value as a defensive utility;</w:t>
      </w:r>
    </w:p>
    <w:p w14:paraId="1E8462F0" w14:textId="4AACA849" w:rsidR="00946D3C" w:rsidRPr="00175B2B" w:rsidRDefault="00946D3C" w:rsidP="00946D3C">
      <w:pPr>
        <w:rPr>
          <w:b/>
        </w:rPr>
      </w:pPr>
      <w:r w:rsidRPr="00946D3C">
        <w:t xml:space="preserve">Panel D Residual Correlations: The residual correlation matrix (Panel D) shows near-zero to low correlations between most pairs of firm-specific components, validating the SIM assumption that residuals are uncorrelated. </w:t>
      </w:r>
      <w:r w:rsidRPr="00946D3C">
        <w:rPr>
          <w:lang w:val="en-CA"/>
        </w:rPr>
        <w:t>Notable exceptions: ETN-PWR residuals (0.485) and NVT-ETN (0.615) indicate a common factor not captured by the ACWI index</w:t>
      </w:r>
      <w:r>
        <w:rPr>
          <w:lang w:val="en-CA"/>
        </w:rPr>
        <w:t>,</w:t>
      </w:r>
      <w:r w:rsidRPr="00946D3C">
        <w:rPr>
          <w:lang w:val="en-CA"/>
        </w:rPr>
        <w:t xml:space="preserve"> likely the AI-energy industrial electrification sub-theme. </w:t>
      </w:r>
      <w:r w:rsidRPr="00946D3C">
        <w:t>Conversely, AEP-ETN residuals are negative (-0.799), providing useful diversification.</w:t>
      </w:r>
    </w:p>
    <w:p w14:paraId="2DB0549E" w14:textId="4F18878E" w:rsidR="0031551F" w:rsidRPr="0031551F" w:rsidRDefault="00175B2B" w:rsidP="00946D3C">
      <w:pPr>
        <w:pStyle w:val="Heading3"/>
      </w:pPr>
      <w:bookmarkStart w:id="40" w:name="_Toc227618176"/>
      <w:r w:rsidRPr="00946D3C">
        <w:rPr>
          <w:rFonts w:eastAsia="Arial"/>
        </w:rPr>
        <w:t>5.3 Performance</w:t>
      </w:r>
      <w:r w:rsidR="00946D3C" w:rsidRPr="00946D3C">
        <w:rPr>
          <w:rFonts w:eastAsia="Arial"/>
        </w:rPr>
        <w:t xml:space="preserve"> Metrics: Active Portfolio vs. ACWI Index</w:t>
      </w:r>
      <w:bookmarkEnd w:id="40"/>
    </w:p>
    <w:p w14:paraId="7EF36835" w14:textId="77777777" w:rsidR="00946D3C" w:rsidRPr="00946D3C" w:rsidRDefault="00946D3C" w:rsidP="00946D3C">
      <w:r w:rsidRPr="00946D3C">
        <w:t>The Treynor-Black active overlay generates substantial, measurable improvements across all performance dimensions relative to the passive ACWI index:</w:t>
      </w:r>
    </w:p>
    <w:p w14:paraId="5AF1ACDE" w14:textId="6437D320" w:rsidR="00946D3C" w:rsidRPr="00946D3C" w:rsidRDefault="00946D3C" w:rsidP="00946D3C">
      <w:pPr>
        <w:pStyle w:val="ListParagraph"/>
        <w:numPr>
          <w:ilvl w:val="0"/>
          <w:numId w:val="8"/>
        </w:numPr>
      </w:pPr>
      <w:r w:rsidRPr="00946D3C">
        <w:t xml:space="preserve">"Sharpe Ratio: 1.109 (Active) vs. 0.618 (ACWI </w:t>
      </w:r>
      <w:proofErr w:type="gramStart"/>
      <w:r w:rsidRPr="00946D3C">
        <w:t>Index)  -</w:t>
      </w:r>
      <w:proofErr w:type="gramEnd"/>
      <w:r w:rsidRPr="00946D3C">
        <w:t xml:space="preserve">  a 64% improvement in reward-per-unit-of-risk, demonstrating meaningful active management skill.</w:t>
      </w:r>
    </w:p>
    <w:p w14:paraId="0481A4FB" w14:textId="2EBB326D" w:rsidR="00946D3C" w:rsidRPr="00946D3C" w:rsidRDefault="00946D3C" w:rsidP="00946D3C">
      <w:pPr>
        <w:pStyle w:val="ListParagraph"/>
        <w:numPr>
          <w:ilvl w:val="0"/>
          <w:numId w:val="8"/>
        </w:numPr>
      </w:pPr>
      <w:r w:rsidRPr="00946D3C">
        <w:t>Jensen's Alpha: 17.37</w:t>
      </w:r>
      <w:proofErr w:type="gramStart"/>
      <w:r w:rsidRPr="00946D3C">
        <w:t>%  -</w:t>
      </w:r>
      <w:proofErr w:type="gramEnd"/>
      <w:r w:rsidRPr="00946D3C">
        <w:t xml:space="preserve">  the active portfolio earns 17.37% above the CAPM-implied expected return, a significant risk-adjusted outperformance figure relative to the benchmark.</w:t>
      </w:r>
    </w:p>
    <w:p w14:paraId="7CA2ECF9" w14:textId="7EE9A167" w:rsidR="00946D3C" w:rsidRPr="00946D3C" w:rsidRDefault="00946D3C" w:rsidP="00946D3C">
      <w:pPr>
        <w:pStyle w:val="ListParagraph"/>
        <w:numPr>
          <w:ilvl w:val="0"/>
          <w:numId w:val="8"/>
        </w:numPr>
      </w:pPr>
      <w:r w:rsidRPr="00946D3C">
        <w:t xml:space="preserve">Information Ratio: </w:t>
      </w:r>
      <w:proofErr w:type="gramStart"/>
      <w:r w:rsidRPr="00946D3C">
        <w:t>0.855  -</w:t>
      </w:r>
      <w:proofErr w:type="gramEnd"/>
      <w:r w:rsidRPr="00946D3C">
        <w:t xml:space="preserve">  the ratio of active return to tracking error. At 0.855, this exceeds the industry convention of 0.30 as a minimum threshold for meaningful active management skill, though it falls below the 0.50 target set in Section 5.4, warranting ongoing monitoring.</w:t>
      </w:r>
    </w:p>
    <w:p w14:paraId="116A0AB7" w14:textId="0031DCAE" w:rsidR="00946D3C" w:rsidRPr="00946D3C" w:rsidRDefault="00946D3C" w:rsidP="00946D3C">
      <w:pPr>
        <w:pStyle w:val="ListParagraph"/>
        <w:numPr>
          <w:ilvl w:val="0"/>
          <w:numId w:val="8"/>
        </w:numPr>
      </w:pPr>
      <w:r w:rsidRPr="00946D3C">
        <w:t xml:space="preserve">Treynor Measure: 0.193 (Active) vs. 0.138 (ACWI </w:t>
      </w:r>
      <w:proofErr w:type="gramStart"/>
      <w:r w:rsidRPr="00946D3C">
        <w:t>Index)  -</w:t>
      </w:r>
      <w:proofErr w:type="gramEnd"/>
      <w:r w:rsidRPr="00946D3C">
        <w:t xml:space="preserve">  active portfolio generates 25.1 cents of excess return per unit of beta risk, vs. 13.8 cents for the passive index.</w:t>
      </w:r>
    </w:p>
    <w:p w14:paraId="2D143039" w14:textId="77777777" w:rsidR="00946D3C" w:rsidRDefault="00946D3C" w:rsidP="00946D3C">
      <w:pPr>
        <w:pStyle w:val="ListParagraph"/>
        <w:numPr>
          <w:ilvl w:val="0"/>
          <w:numId w:val="8"/>
        </w:numPr>
      </w:pPr>
      <w:r w:rsidRPr="00946D3C">
        <w:t xml:space="preserve">Beta of Active Portfolio: </w:t>
      </w:r>
      <w:proofErr w:type="gramStart"/>
      <w:r w:rsidRPr="00946D3C">
        <w:t>1.274  -</w:t>
      </w:r>
      <w:proofErr w:type="gramEnd"/>
      <w:r w:rsidRPr="00946D3C">
        <w:t xml:space="preserve">  below the ACWI index beta of 1.0, meaning the active portfolio achieves better Sharpe with lower market sensitivity. This directly serves the conservative mandate.</w:t>
      </w:r>
    </w:p>
    <w:p w14:paraId="1B971448" w14:textId="4CE29FAB" w:rsidR="00946D3C" w:rsidRPr="00946D3C" w:rsidRDefault="00946D3C" w:rsidP="00946D3C">
      <w:pPr>
        <w:pStyle w:val="ListParagraph"/>
        <w:numPr>
          <w:ilvl w:val="0"/>
          <w:numId w:val="8"/>
        </w:numPr>
      </w:pPr>
      <w:r w:rsidRPr="00946D3C">
        <w:t>Selectivity: 17.37</w:t>
      </w:r>
      <w:proofErr w:type="gramStart"/>
      <w:r w:rsidRPr="00946D3C">
        <w:t>%  -</w:t>
      </w:r>
      <w:proofErr w:type="gramEnd"/>
      <w:r w:rsidRPr="00946D3C">
        <w:t xml:space="preserve">  net selectivity (adjusted for portfolio diversification cost) is 10.50%, confirming that stock selection is the primary driver of active return.</w:t>
      </w:r>
    </w:p>
    <w:p w14:paraId="606CBD66" w14:textId="68D5F755" w:rsidR="0031551F" w:rsidRDefault="00175B2B" w:rsidP="00946D3C">
      <w:pPr>
        <w:pStyle w:val="Heading3"/>
        <w:rPr>
          <w:rFonts w:eastAsia="Arial"/>
        </w:rPr>
      </w:pPr>
      <w:bookmarkStart w:id="41" w:name="_Toc227618177"/>
      <w:r>
        <w:rPr>
          <w:rFonts w:eastAsia="Arial"/>
        </w:rPr>
        <w:t>5.4 Benchmark</w:t>
      </w:r>
      <w:r w:rsidR="0031551F">
        <w:rPr>
          <w:rFonts w:eastAsia="Arial"/>
        </w:rPr>
        <w:t xml:space="preserve"> &amp; Performance Measurement Protocol</w:t>
      </w:r>
      <w:bookmarkEnd w:id="41"/>
    </w:p>
    <w:p w14:paraId="6D5FB009" w14:textId="77777777" w:rsidR="00946D3C" w:rsidRDefault="00946D3C" w:rsidP="00946D3C">
      <w:pPr>
        <w:rPr>
          <w:b/>
          <w:iCs/>
        </w:rPr>
      </w:pPr>
      <w:r w:rsidRPr="00946D3C">
        <w:t>Portfolio performance is evaluated against the iShares MSCI ACWI ETF (ACWI) as the primary benchmark, supplemented by the blended multi-asset benchmark defined in the Benchmark table below.</w:t>
      </w:r>
    </w:p>
    <w:p w14:paraId="07B0375B" w14:textId="15B0804A" w:rsidR="0031551F" w:rsidRDefault="00175B2B" w:rsidP="0031551F">
      <w:pPr>
        <w:pStyle w:val="Heading4"/>
      </w:pPr>
      <w:r>
        <w:rPr>
          <w:rFonts w:eastAsia="Arial"/>
        </w:rPr>
        <w:t>5.4.1 Rebalancing</w:t>
      </w:r>
      <w:r w:rsidR="0031551F">
        <w:rPr>
          <w:rFonts w:eastAsia="Arial"/>
        </w:rPr>
        <w:t xml:space="preserve"> Protocol</w:t>
      </w:r>
    </w:p>
    <w:p w14:paraId="6C829C36" w14:textId="77777777" w:rsidR="00946D3C" w:rsidRPr="00946D3C" w:rsidRDefault="00946D3C" w:rsidP="00946D3C">
      <w:r w:rsidRPr="00946D3C">
        <w:t>The portfolio employs a hybrid calendar/drift rebalancing strategy:</w:t>
      </w:r>
    </w:p>
    <w:p w14:paraId="69AFC4B7" w14:textId="77777777" w:rsidR="00946D3C" w:rsidRPr="00946D3C" w:rsidRDefault="00946D3C" w:rsidP="00946D3C">
      <w:r w:rsidRPr="00946D3C">
        <w:t>Quarterly calendar rebalance: Alpha forecasts from Panel E are refreshed; active weights (Panel F/G) recalculated based on updated residual variances and adjusted alphas.</w:t>
      </w:r>
    </w:p>
    <w:p w14:paraId="171A9F7D" w14:textId="77777777" w:rsidR="00946D3C" w:rsidRPr="00946D3C" w:rsidRDefault="00946D3C" w:rsidP="00946D3C">
      <w:r w:rsidRPr="00946D3C">
        <w:t xml:space="preserve">Drift </w:t>
      </w:r>
      <w:proofErr w:type="gramStart"/>
      <w:r w:rsidRPr="00946D3C">
        <w:t>trigger  -</w:t>
      </w:r>
      <w:proofErr w:type="gramEnd"/>
      <w:r w:rsidRPr="00946D3C">
        <w:t xml:space="preserve">  Capital Allocation: y* drifts by 5% from 0.6133 </w:t>
      </w:r>
      <w:proofErr w:type="gramStart"/>
      <w:r w:rsidRPr="00946D3C">
        <w:t>target  rebalance</w:t>
      </w:r>
      <w:proofErr w:type="gramEnd"/>
      <w:r w:rsidRPr="00946D3C">
        <w:t xml:space="preserve"> between T-Bill and equity sleeve within 5 business days.</w:t>
      </w:r>
    </w:p>
    <w:p w14:paraId="73652D50" w14:textId="77777777" w:rsidR="00946D3C" w:rsidRPr="00946D3C" w:rsidRDefault="00946D3C" w:rsidP="00946D3C">
      <w:r w:rsidRPr="00946D3C">
        <w:t xml:space="preserve">Drift </w:t>
      </w:r>
      <w:proofErr w:type="gramStart"/>
      <w:r w:rsidRPr="00946D3C">
        <w:t>trigger  -</w:t>
      </w:r>
      <w:proofErr w:type="gramEnd"/>
      <w:r w:rsidRPr="00946D3C">
        <w:t xml:space="preserve">  Active weights: Any single stock weight drifts &gt;5% from </w:t>
      </w:r>
      <w:proofErr w:type="gramStart"/>
      <w:r w:rsidRPr="00946D3C">
        <w:t>target  rebalance</w:t>
      </w:r>
      <w:proofErr w:type="gramEnd"/>
      <w:r w:rsidRPr="00946D3C">
        <w:t xml:space="preserve"> within the equity sleeve.</w:t>
      </w:r>
    </w:p>
    <w:p w14:paraId="0B884B07" w14:textId="77777777" w:rsidR="00946D3C" w:rsidRPr="00946D3C" w:rsidRDefault="00946D3C" w:rsidP="00946D3C">
      <w:r w:rsidRPr="00946D3C">
        <w:t>SBGSY hard cap: Maximum 30% of active equity sleeve. Current weight 23.4</w:t>
      </w:r>
      <w:proofErr w:type="gramStart"/>
      <w:r w:rsidRPr="00946D3C">
        <w:t>%  -</w:t>
      </w:r>
      <w:proofErr w:type="gramEnd"/>
      <w:r w:rsidRPr="00946D3C">
        <w:t xml:space="preserve">  monitored monthly. HUBB special review: current 7.3% weight monitored monthly given -15.5% consensus target.</w:t>
      </w:r>
    </w:p>
    <w:p w14:paraId="2E168C06" w14:textId="77777777" w:rsidR="00946D3C" w:rsidRPr="00946D3C" w:rsidRDefault="00946D3C" w:rsidP="00946D3C">
      <w:pPr>
        <w:rPr>
          <w:b/>
          <w:lang w:val="en-CA"/>
        </w:rPr>
      </w:pPr>
      <w:r w:rsidRPr="00946D3C">
        <w:lastRenderedPageBreak/>
        <w:t xml:space="preserve">ETN short restriction: Under IPS no-short constraint, ETN weight held at 0%. </w:t>
      </w:r>
      <w:r w:rsidRPr="00946D3C">
        <w:rPr>
          <w:lang w:val="en-CA"/>
        </w:rPr>
        <w:t>If adjusted alpha turns positive for two consecutive quarters, ETN is added at minimum 5% long weight.</w:t>
      </w:r>
    </w:p>
    <w:p w14:paraId="7EF2D291" w14:textId="5E417585" w:rsidR="00B25185" w:rsidRDefault="00B25185" w:rsidP="00946D3C">
      <w:pPr>
        <w:pStyle w:val="Heading1"/>
      </w:pPr>
      <w:bookmarkStart w:id="42" w:name="_Toc227618178"/>
      <w:r>
        <w:t>Section 6 – Portfolio Valuation Analysis</w:t>
      </w:r>
      <w:bookmarkEnd w:id="42"/>
    </w:p>
    <w:p w14:paraId="2134EA78" w14:textId="77777777" w:rsidR="00946D3C" w:rsidRDefault="00946D3C" w:rsidP="00946D3C">
      <w:pPr>
        <w:pStyle w:val="Heading2"/>
      </w:pPr>
      <w:bookmarkStart w:id="43" w:name="_Toc227618179"/>
      <w:r w:rsidRPr="00946D3C">
        <w:t>This section provides the fundamental valuation framework underpinning the active alpha forecasts in the ACWI model. The adjusted alpha methodology (Panel E) explicitly corrects raw alphas by the ratio of average market P/E to each stock's P/E, ensuring that expensive stocks receive discounted alpha and cheap stocks receive premium alpha.</w:t>
      </w:r>
      <w:bookmarkEnd w:id="43"/>
    </w:p>
    <w:p w14:paraId="75054701" w14:textId="5250ABC3" w:rsidR="00B25185" w:rsidRDefault="00175B2B" w:rsidP="00946D3C">
      <w:pPr>
        <w:pStyle w:val="Heading3"/>
      </w:pPr>
      <w:bookmarkStart w:id="44" w:name="_Toc227618180"/>
      <w:r>
        <w:rPr>
          <w:rFonts w:eastAsia="Arial"/>
        </w:rPr>
        <w:t>6.1 Alpha</w:t>
      </w:r>
      <w:r w:rsidR="00B25185">
        <w:rPr>
          <w:rFonts w:eastAsia="Arial"/>
        </w:rPr>
        <w:t xml:space="preserve"> Adjustment Methodology</w:t>
      </w:r>
      <w:bookmarkEnd w:id="44"/>
    </w:p>
    <w:p w14:paraId="740964B7" w14:textId="77777777" w:rsidR="00946D3C" w:rsidRPr="00946D3C" w:rsidRDefault="00946D3C" w:rsidP="00946D3C">
      <w:pPr>
        <w:rPr>
          <w:lang w:val="en-CA"/>
        </w:rPr>
      </w:pPr>
      <w:r w:rsidRPr="00946D3C">
        <w:rPr>
          <w:lang w:val="en-CA"/>
        </w:rPr>
        <w:t>The alpha adjustment is a critical innovation in this model. Raw alpha (from Panel E) represents the historical excess return above the index model's expected return. However, raw alpha is backward-looking and does not account for current valuation. A stock trading at a significant P/E premium to the market may have generated high historical alpha, but at current prices, much of that return has already been priced in.</w:t>
      </w:r>
    </w:p>
    <w:p w14:paraId="2769B42C" w14:textId="77777777" w:rsidR="00946D3C" w:rsidRPr="00946D3C" w:rsidRDefault="00946D3C" w:rsidP="00946D3C">
      <w:pPr>
        <w:rPr>
          <w:lang w:val="en-CA"/>
        </w:rPr>
      </w:pPr>
    </w:p>
    <w:p w14:paraId="1D31C0D9" w14:textId="77777777" w:rsidR="00946D3C" w:rsidRPr="00946D3C" w:rsidRDefault="00946D3C" w:rsidP="00946D3C">
      <w:pPr>
        <w:rPr>
          <w:lang w:val="en-CA"/>
        </w:rPr>
      </w:pPr>
      <w:r w:rsidRPr="00946D3C">
        <w:rPr>
          <w:lang w:val="en-CA"/>
        </w:rPr>
        <w:t xml:space="preserve">The adjustment formula is: Adjusted Alpha = Raw </w:t>
      </w:r>
      <w:proofErr w:type="gramStart"/>
      <w:r w:rsidRPr="00946D3C">
        <w:rPr>
          <w:lang w:val="en-CA"/>
        </w:rPr>
        <w:t>Alpha  (</w:t>
      </w:r>
      <w:proofErr w:type="gramEnd"/>
      <w:r w:rsidRPr="00946D3C">
        <w:rPr>
          <w:lang w:val="en-CA"/>
        </w:rPr>
        <w:t>Market Average P/</w:t>
      </w:r>
      <w:proofErr w:type="gramStart"/>
      <w:r w:rsidRPr="00946D3C">
        <w:rPr>
          <w:lang w:val="en-CA"/>
        </w:rPr>
        <w:t>E  Stock</w:t>
      </w:r>
      <w:proofErr w:type="gramEnd"/>
      <w:r w:rsidRPr="00946D3C">
        <w:rPr>
          <w:lang w:val="en-CA"/>
        </w:rPr>
        <w:t xml:space="preserve"> P/E). With the market average P/E at 29.7x (derived from the model):</w:t>
      </w:r>
    </w:p>
    <w:p w14:paraId="18BFF58A" w14:textId="77777777" w:rsidR="00946D3C" w:rsidRPr="00946D3C" w:rsidRDefault="00946D3C" w:rsidP="00946D3C">
      <w:pPr>
        <w:rPr>
          <w:lang w:val="en-CA"/>
        </w:rPr>
      </w:pPr>
      <w:r w:rsidRPr="00946D3C">
        <w:rPr>
          <w:lang w:val="es-ES"/>
        </w:rPr>
        <w:t>PWR: Raw Alpha = 26.1</w:t>
      </w:r>
      <w:proofErr w:type="gramStart"/>
      <w:r w:rsidRPr="00946D3C">
        <w:rPr>
          <w:lang w:val="es-ES"/>
        </w:rPr>
        <w:t>%  P</w:t>
      </w:r>
      <w:proofErr w:type="gramEnd"/>
      <w:r w:rsidRPr="00946D3C">
        <w:rPr>
          <w:lang w:val="es-ES"/>
        </w:rPr>
        <w:t xml:space="preserve">/E </w:t>
      </w:r>
      <w:proofErr w:type="gramStart"/>
      <w:r w:rsidRPr="00946D3C">
        <w:rPr>
          <w:lang w:val="es-ES"/>
        </w:rPr>
        <w:t>54.5x  Adj.</w:t>
      </w:r>
      <w:proofErr w:type="gramEnd"/>
      <w:r w:rsidRPr="00946D3C">
        <w:rPr>
          <w:lang w:val="es-ES"/>
        </w:rPr>
        <w:t xml:space="preserve"> </w:t>
      </w:r>
      <w:r w:rsidRPr="00946D3C">
        <w:rPr>
          <w:lang w:val="en-CA"/>
        </w:rPr>
        <w:t>Alpha = 26.1</w:t>
      </w:r>
      <w:proofErr w:type="gramStart"/>
      <w:r w:rsidRPr="00946D3C">
        <w:rPr>
          <w:lang w:val="en-CA"/>
        </w:rPr>
        <w:t>%  (</w:t>
      </w:r>
      <w:proofErr w:type="gramEnd"/>
      <w:r w:rsidRPr="00946D3C">
        <w:rPr>
          <w:lang w:val="en-CA"/>
        </w:rPr>
        <w:t>29.7/54.5) = 14.2</w:t>
      </w:r>
      <w:proofErr w:type="gramStart"/>
      <w:r w:rsidRPr="00946D3C">
        <w:rPr>
          <w:lang w:val="en-CA"/>
        </w:rPr>
        <w:t>%  -</w:t>
      </w:r>
      <w:proofErr w:type="gramEnd"/>
      <w:r w:rsidRPr="00946D3C">
        <w:rPr>
          <w:lang w:val="en-CA"/>
        </w:rPr>
        <w:t xml:space="preserve">  significant haircut for expensive valuation.</w:t>
      </w:r>
    </w:p>
    <w:p w14:paraId="173B6529" w14:textId="77777777" w:rsidR="00946D3C" w:rsidRPr="00946D3C" w:rsidRDefault="00946D3C" w:rsidP="00946D3C">
      <w:pPr>
        <w:rPr>
          <w:lang w:val="en-CA"/>
        </w:rPr>
      </w:pPr>
      <w:r w:rsidRPr="00946D3C">
        <w:rPr>
          <w:lang w:val="en-CA"/>
        </w:rPr>
        <w:t>SBGSY: Raw Alpha = -0.29</w:t>
      </w:r>
      <w:proofErr w:type="gramStart"/>
      <w:r w:rsidRPr="00946D3C">
        <w:rPr>
          <w:lang w:val="en-CA"/>
        </w:rPr>
        <w:t>%  Adj.</w:t>
      </w:r>
      <w:proofErr w:type="gramEnd"/>
      <w:r w:rsidRPr="00946D3C">
        <w:rPr>
          <w:lang w:val="en-CA"/>
        </w:rPr>
        <w:t xml:space="preserve"> Alpha = 5.89</w:t>
      </w:r>
      <w:proofErr w:type="gramStart"/>
      <w:r w:rsidRPr="00946D3C">
        <w:rPr>
          <w:lang w:val="en-CA"/>
        </w:rPr>
        <w:t>%  -</w:t>
      </w:r>
      <w:proofErr w:type="gramEnd"/>
      <w:r w:rsidRPr="00946D3C">
        <w:rPr>
          <w:lang w:val="en-CA"/>
        </w:rPr>
        <w:t xml:space="preserve">  valuation-adjusted CAPM alpha turns positive as Schneider trades near fair value for its growth profile.</w:t>
      </w:r>
    </w:p>
    <w:p w14:paraId="5CA487F2" w14:textId="77777777" w:rsidR="00946D3C" w:rsidRPr="00946D3C" w:rsidRDefault="00946D3C" w:rsidP="00946D3C">
      <w:pPr>
        <w:rPr>
          <w:lang w:val="en-CA"/>
        </w:rPr>
      </w:pPr>
      <w:r w:rsidRPr="00946D3C">
        <w:rPr>
          <w:lang w:val="en-CA"/>
        </w:rPr>
        <w:t>MLI: Raw Alpha = 28.90</w:t>
      </w:r>
      <w:proofErr w:type="gramStart"/>
      <w:r w:rsidRPr="00946D3C">
        <w:rPr>
          <w:lang w:val="en-CA"/>
        </w:rPr>
        <w:t>%  Adj.</w:t>
      </w:r>
      <w:proofErr w:type="gramEnd"/>
      <w:r w:rsidRPr="00946D3C">
        <w:rPr>
          <w:lang w:val="en-CA"/>
        </w:rPr>
        <w:t xml:space="preserve"> Alpha = 41.76</w:t>
      </w:r>
      <w:proofErr w:type="gramStart"/>
      <w:r w:rsidRPr="00946D3C">
        <w:rPr>
          <w:lang w:val="en-CA"/>
        </w:rPr>
        <w:t>%  -</w:t>
      </w:r>
      <w:proofErr w:type="gramEnd"/>
      <w:r w:rsidRPr="00946D3C">
        <w:rPr>
          <w:lang w:val="en-CA"/>
        </w:rPr>
        <w:t xml:space="preserve">  large positive adjustment because MLI trades at an 18.1x P/E, a 39% discount to the market average of 29.7x. This is the key alpha: a structurally important copper/electrification play at a deep valuation discount, with the strongest statistical significance (p=2.05%).</w:t>
      </w:r>
    </w:p>
    <w:p w14:paraId="6DDA483E" w14:textId="3B5DB23F" w:rsidR="00B25185" w:rsidRDefault="00946D3C" w:rsidP="00B25185">
      <w:pPr>
        <w:rPr>
          <w:lang w:val="en-CA"/>
        </w:rPr>
      </w:pPr>
      <w:r w:rsidRPr="00946D3C">
        <w:rPr>
          <w:lang w:val="en-CA"/>
        </w:rPr>
        <w:t xml:space="preserve">ETN: Raw Alpha </w:t>
      </w:r>
      <w:proofErr w:type="gramStart"/>
      <w:r w:rsidRPr="00946D3C">
        <w:rPr>
          <w:lang w:val="en-CA"/>
        </w:rPr>
        <w:t>positive  Adj.</w:t>
      </w:r>
      <w:proofErr w:type="gramEnd"/>
      <w:r w:rsidRPr="00946D3C">
        <w:rPr>
          <w:lang w:val="en-CA"/>
        </w:rPr>
        <w:t xml:space="preserve"> Alpha = -3.27%  -  valuation adjustment flips alpha negative because ETN's P/E premium is not justified by structural alpha forecast.</w:t>
      </w:r>
    </w:p>
    <w:p w14:paraId="001A8A92" w14:textId="77777777" w:rsidR="00175B2B" w:rsidRDefault="00175B2B" w:rsidP="00B25185">
      <w:pPr>
        <w:rPr>
          <w:lang w:val="en-CA"/>
        </w:rPr>
      </w:pPr>
    </w:p>
    <w:tbl>
      <w:tblPr>
        <w:tblW w:w="9360" w:type="dxa"/>
        <w:jc w:val="center"/>
        <w:tblCellMar>
          <w:left w:w="10" w:type="dxa"/>
          <w:right w:w="10" w:type="dxa"/>
        </w:tblCellMar>
        <w:tblLook w:val="04A0" w:firstRow="1" w:lastRow="0" w:firstColumn="1" w:lastColumn="0" w:noHBand="0" w:noVBand="1"/>
      </w:tblPr>
      <w:tblGrid>
        <w:gridCol w:w="990"/>
        <w:gridCol w:w="1720"/>
        <w:gridCol w:w="900"/>
        <w:gridCol w:w="1000"/>
        <w:gridCol w:w="1000"/>
        <w:gridCol w:w="1000"/>
        <w:gridCol w:w="1050"/>
        <w:gridCol w:w="880"/>
        <w:gridCol w:w="820"/>
      </w:tblGrid>
      <w:tr w:rsidR="00946D3C" w14:paraId="3C77BF99" w14:textId="77777777" w:rsidTr="00946D3C">
        <w:tblPrEx>
          <w:tblCellMar>
            <w:top w:w="0" w:type="dxa"/>
            <w:bottom w:w="0" w:type="dxa"/>
          </w:tblCellMar>
        </w:tblPrEx>
        <w:trPr>
          <w:jc w:val="center"/>
        </w:trPr>
        <w:tc>
          <w:tcPr>
            <w:tcW w:w="99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2670FA75" w14:textId="77777777" w:rsidR="00946D3C" w:rsidRDefault="00946D3C" w:rsidP="00155891">
            <w:pPr>
              <w:jc w:val="center"/>
            </w:pPr>
            <w:r>
              <w:rPr>
                <w:rFonts w:ascii="Arial" w:hAnsi="Arial"/>
                <w:b/>
                <w:color w:val="FFFFFF"/>
                <w:sz w:val="18"/>
              </w:rPr>
              <w:t>Ticker</w:t>
            </w:r>
          </w:p>
        </w:tc>
        <w:tc>
          <w:tcPr>
            <w:tcW w:w="17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7452ED6" w14:textId="77777777" w:rsidR="00946D3C" w:rsidRDefault="00946D3C" w:rsidP="00155891">
            <w:pPr>
              <w:jc w:val="center"/>
            </w:pPr>
            <w:r>
              <w:rPr>
                <w:rFonts w:ascii="Arial" w:hAnsi="Arial"/>
                <w:b/>
                <w:color w:val="FFFFFF"/>
                <w:sz w:val="18"/>
              </w:rPr>
              <w:t>Company</w:t>
            </w:r>
          </w:p>
        </w:tc>
        <w:tc>
          <w:tcPr>
            <w:tcW w:w="9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14229F26" w14:textId="77777777" w:rsidR="00946D3C" w:rsidRDefault="00946D3C" w:rsidP="00155891">
            <w:pPr>
              <w:jc w:val="center"/>
            </w:pPr>
            <w:r>
              <w:rPr>
                <w:rFonts w:ascii="Arial" w:hAnsi="Arial"/>
                <w:b/>
                <w:color w:val="FFFFFF"/>
                <w:sz w:val="18"/>
              </w:rPr>
              <w:t>Price</w:t>
            </w:r>
          </w:p>
        </w:tc>
        <w:tc>
          <w:tcPr>
            <w:tcW w:w="10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0F40370B" w14:textId="77777777" w:rsidR="00946D3C" w:rsidRDefault="00946D3C" w:rsidP="00155891">
            <w:pPr>
              <w:jc w:val="center"/>
            </w:pPr>
            <w:r>
              <w:rPr>
                <w:rFonts w:ascii="Arial" w:hAnsi="Arial"/>
                <w:b/>
                <w:color w:val="FFFFFF"/>
                <w:sz w:val="18"/>
              </w:rPr>
              <w:t>EPS (TTM)</w:t>
            </w:r>
          </w:p>
        </w:tc>
        <w:tc>
          <w:tcPr>
            <w:tcW w:w="10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2D8C6A5A" w14:textId="77777777" w:rsidR="00946D3C" w:rsidRDefault="00946D3C" w:rsidP="00155891">
            <w:pPr>
              <w:jc w:val="center"/>
            </w:pPr>
            <w:r>
              <w:rPr>
                <w:rFonts w:ascii="Arial" w:hAnsi="Arial"/>
                <w:b/>
                <w:color w:val="FFFFFF"/>
                <w:sz w:val="18"/>
              </w:rPr>
              <w:t>P/E (TTM)</w:t>
            </w:r>
          </w:p>
        </w:tc>
        <w:tc>
          <w:tcPr>
            <w:tcW w:w="100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7ED8D1DD" w14:textId="77777777" w:rsidR="00946D3C" w:rsidRDefault="00946D3C" w:rsidP="00155891">
            <w:pPr>
              <w:jc w:val="center"/>
            </w:pPr>
            <w:proofErr w:type="spellStart"/>
            <w:r>
              <w:rPr>
                <w:rFonts w:ascii="Arial" w:hAnsi="Arial"/>
                <w:b/>
                <w:color w:val="FFFFFF"/>
                <w:sz w:val="18"/>
              </w:rPr>
              <w:t>Fwd</w:t>
            </w:r>
            <w:proofErr w:type="spellEnd"/>
            <w:r>
              <w:rPr>
                <w:rFonts w:ascii="Arial" w:hAnsi="Arial"/>
                <w:b/>
                <w:color w:val="FFFFFF"/>
                <w:sz w:val="18"/>
              </w:rPr>
              <w:t xml:space="preserve"> Div</w:t>
            </w:r>
          </w:p>
        </w:tc>
        <w:tc>
          <w:tcPr>
            <w:tcW w:w="105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5EF7FCF3" w14:textId="77777777" w:rsidR="00946D3C" w:rsidRDefault="00946D3C" w:rsidP="00155891">
            <w:pPr>
              <w:jc w:val="center"/>
            </w:pPr>
            <w:r>
              <w:rPr>
                <w:rFonts w:ascii="Arial" w:hAnsi="Arial"/>
                <w:b/>
                <w:color w:val="FFFFFF"/>
                <w:sz w:val="18"/>
              </w:rPr>
              <w:t>1yr Target</w:t>
            </w:r>
          </w:p>
        </w:tc>
        <w:tc>
          <w:tcPr>
            <w:tcW w:w="88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6AAFE53E" w14:textId="77777777" w:rsidR="00946D3C" w:rsidRDefault="00946D3C" w:rsidP="00155891">
            <w:pPr>
              <w:jc w:val="center"/>
            </w:pPr>
            <w:r>
              <w:rPr>
                <w:rFonts w:ascii="Arial" w:hAnsi="Arial"/>
                <w:b/>
                <w:color w:val="FFFFFF"/>
                <w:sz w:val="18"/>
              </w:rPr>
              <w:t>Target Ret.</w:t>
            </w:r>
          </w:p>
        </w:tc>
        <w:tc>
          <w:tcPr>
            <w:tcW w:w="820" w:type="dxa"/>
            <w:tcBorders>
              <w:top w:val="single" w:sz="4" w:space="0" w:color="AAAAAA"/>
              <w:left w:val="single" w:sz="4" w:space="0" w:color="AAAAAA"/>
              <w:bottom w:val="single" w:sz="4" w:space="0" w:color="AAAAAA"/>
              <w:right w:val="single" w:sz="4" w:space="0" w:color="AAAAAA"/>
            </w:tcBorders>
            <w:shd w:val="clear" w:color="auto" w:fill="2E5596"/>
            <w:vAlign w:val="center"/>
          </w:tcPr>
          <w:p w14:paraId="78FA7C19" w14:textId="77777777" w:rsidR="00946D3C" w:rsidRDefault="00946D3C" w:rsidP="00155891">
            <w:pPr>
              <w:jc w:val="center"/>
            </w:pPr>
            <w:r>
              <w:rPr>
                <w:rFonts w:ascii="Arial" w:hAnsi="Arial"/>
                <w:b/>
                <w:color w:val="FFFFFF"/>
                <w:sz w:val="18"/>
              </w:rPr>
              <w:t xml:space="preserve">Div </w:t>
            </w:r>
            <w:proofErr w:type="spellStart"/>
            <w:r>
              <w:rPr>
                <w:rFonts w:ascii="Arial" w:hAnsi="Arial"/>
                <w:b/>
                <w:color w:val="FFFFFF"/>
                <w:sz w:val="18"/>
              </w:rPr>
              <w:t>Yield</w:t>
            </w:r>
            <w:proofErr w:type="spellEnd"/>
          </w:p>
        </w:tc>
      </w:tr>
      <w:tr w:rsidR="00946D3C" w14:paraId="456C050A"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8FE1571" w14:textId="77777777" w:rsidR="00946D3C" w:rsidRDefault="00946D3C" w:rsidP="00155891">
            <w:pPr>
              <w:jc w:val="center"/>
            </w:pPr>
            <w:r>
              <w:rPr>
                <w:rFonts w:ascii="Arial" w:hAnsi="Arial"/>
                <w:b/>
                <w:color w:val="2C2C2C"/>
                <w:sz w:val="19"/>
              </w:rPr>
              <w:t>ACWI</w:t>
            </w:r>
          </w:p>
        </w:tc>
        <w:tc>
          <w:tcPr>
            <w:tcW w:w="17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689671F" w14:textId="77777777" w:rsidR="00946D3C" w:rsidRDefault="00946D3C" w:rsidP="00155891">
            <w:pPr>
              <w:jc w:val="center"/>
            </w:pPr>
            <w:proofErr w:type="spellStart"/>
            <w:r>
              <w:rPr>
                <w:rFonts w:ascii="Arial" w:hAnsi="Arial"/>
                <w:color w:val="2C2C2C"/>
                <w:sz w:val="19"/>
              </w:rPr>
              <w:t>iShares</w:t>
            </w:r>
            <w:proofErr w:type="spellEnd"/>
            <w:r>
              <w:rPr>
                <w:rFonts w:ascii="Arial" w:hAnsi="Arial"/>
                <w:color w:val="2C2C2C"/>
                <w:sz w:val="19"/>
              </w:rPr>
              <w:t xml:space="preserve"> MSCI ACWI ETF</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045C64A" w14:textId="77777777" w:rsidR="00946D3C" w:rsidRDefault="00946D3C" w:rsidP="00155891">
            <w:pPr>
              <w:jc w:val="center"/>
            </w:pPr>
            <w:r>
              <w:rPr>
                <w:rFonts w:ascii="Arial" w:hAnsi="Arial"/>
                <w:color w:val="2C2C2C"/>
                <w:sz w:val="19"/>
              </w:rPr>
              <w:t>$179.79</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FD4B6F0" w14:textId="77777777" w:rsidR="00946D3C" w:rsidRDefault="00946D3C" w:rsidP="00155891">
            <w:pPr>
              <w:jc w:val="center"/>
            </w:pPr>
            <w:r>
              <w:rPr>
                <w:rFonts w:ascii="Arial" w:hAnsi="Arial"/>
                <w:color w:val="2C2C2C"/>
                <w:sz w:val="19"/>
              </w:rPr>
              <w:t>—</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E7AD58D" w14:textId="77777777" w:rsidR="00946D3C" w:rsidRDefault="00946D3C" w:rsidP="00155891">
            <w:pPr>
              <w:jc w:val="center"/>
            </w:pPr>
            <w:r>
              <w:rPr>
                <w:rFonts w:ascii="Arial" w:hAnsi="Arial"/>
                <w:color w:val="2C2C2C"/>
                <w:sz w:val="19"/>
              </w:rPr>
              <w:t>17.1x</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95F6B8D" w14:textId="77777777" w:rsidR="00946D3C" w:rsidRDefault="00946D3C" w:rsidP="00155891">
            <w:pPr>
              <w:jc w:val="center"/>
            </w:pPr>
            <w:r>
              <w:rPr>
                <w:rFonts w:ascii="Arial" w:hAnsi="Arial"/>
                <w:color w:val="2C2C2C"/>
                <w:sz w:val="19"/>
              </w:rPr>
              <w:t>—</w:t>
            </w:r>
          </w:p>
        </w:tc>
        <w:tc>
          <w:tcPr>
            <w:tcW w:w="10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CADF0B0" w14:textId="77777777" w:rsidR="00946D3C" w:rsidRDefault="00946D3C" w:rsidP="00155891">
            <w:pPr>
              <w:jc w:val="center"/>
            </w:pPr>
            <w:r>
              <w:rPr>
                <w:rFonts w:ascii="Arial" w:hAnsi="Arial"/>
                <w:color w:val="2C2C2C"/>
                <w:sz w:val="19"/>
              </w:rPr>
              <w:t>—</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7F78281" w14:textId="77777777" w:rsidR="00946D3C" w:rsidRDefault="00946D3C" w:rsidP="00155891">
            <w:pPr>
              <w:jc w:val="center"/>
            </w:pPr>
            <w:r>
              <w:rPr>
                <w:rFonts w:ascii="Arial" w:hAnsi="Arial"/>
                <w:color w:val="2C2C2C"/>
                <w:sz w:val="19"/>
              </w:rPr>
              <w:t>—</w:t>
            </w:r>
          </w:p>
        </w:tc>
        <w:tc>
          <w:tcPr>
            <w:tcW w:w="8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D565E4A" w14:textId="77777777" w:rsidR="00946D3C" w:rsidRDefault="00946D3C" w:rsidP="00155891">
            <w:pPr>
              <w:jc w:val="center"/>
            </w:pPr>
            <w:r>
              <w:rPr>
                <w:rFonts w:ascii="Arial" w:hAnsi="Arial"/>
                <w:color w:val="2C2C2C"/>
                <w:sz w:val="19"/>
              </w:rPr>
              <w:t>0.06%</w:t>
            </w:r>
          </w:p>
        </w:tc>
      </w:tr>
      <w:tr w:rsidR="00946D3C" w14:paraId="51726D2C"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C0A2766" w14:textId="77777777" w:rsidR="00946D3C" w:rsidRDefault="00946D3C" w:rsidP="00155891">
            <w:pPr>
              <w:jc w:val="center"/>
            </w:pPr>
            <w:r>
              <w:rPr>
                <w:rFonts w:ascii="Arial" w:hAnsi="Arial"/>
                <w:b/>
                <w:color w:val="2C2C2C"/>
                <w:sz w:val="19"/>
              </w:rPr>
              <w:t>PWR</w:t>
            </w:r>
          </w:p>
        </w:tc>
        <w:tc>
          <w:tcPr>
            <w:tcW w:w="17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C965AEF" w14:textId="77777777" w:rsidR="00946D3C" w:rsidRDefault="00946D3C" w:rsidP="00155891">
            <w:pPr>
              <w:jc w:val="center"/>
            </w:pPr>
            <w:r>
              <w:rPr>
                <w:rFonts w:ascii="Arial" w:hAnsi="Arial"/>
                <w:color w:val="2C2C2C"/>
                <w:sz w:val="19"/>
              </w:rPr>
              <w:t>Quanta Services</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F2B455B" w14:textId="77777777" w:rsidR="00946D3C" w:rsidRDefault="00946D3C" w:rsidP="00155891">
            <w:pPr>
              <w:jc w:val="center"/>
            </w:pPr>
            <w:r>
              <w:rPr>
                <w:rFonts w:ascii="Arial" w:hAnsi="Arial"/>
                <w:color w:val="2C2C2C"/>
                <w:sz w:val="19"/>
              </w:rPr>
              <w:t>$585.36</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A10BFA7" w14:textId="77777777" w:rsidR="00946D3C" w:rsidRDefault="00946D3C" w:rsidP="00155891">
            <w:pPr>
              <w:jc w:val="center"/>
            </w:pPr>
            <w:r>
              <w:rPr>
                <w:rFonts w:ascii="Arial" w:hAnsi="Arial"/>
                <w:color w:val="2C2C2C"/>
                <w:sz w:val="19"/>
              </w:rPr>
              <w:t>$10.75</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F952C6E" w14:textId="77777777" w:rsidR="00946D3C" w:rsidRDefault="00946D3C" w:rsidP="00155891">
            <w:pPr>
              <w:jc w:val="center"/>
            </w:pPr>
            <w:r>
              <w:rPr>
                <w:rFonts w:ascii="Arial" w:hAnsi="Arial"/>
                <w:color w:val="2C2C2C"/>
                <w:sz w:val="19"/>
              </w:rPr>
              <w:t>54.5x</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8D64BBC" w14:textId="77777777" w:rsidR="00946D3C" w:rsidRDefault="00946D3C" w:rsidP="00155891">
            <w:pPr>
              <w:jc w:val="center"/>
            </w:pPr>
            <w:r>
              <w:rPr>
                <w:rFonts w:ascii="Arial" w:hAnsi="Arial"/>
                <w:color w:val="2C2C2C"/>
                <w:sz w:val="19"/>
              </w:rPr>
              <w:t>$0.44</w:t>
            </w:r>
          </w:p>
        </w:tc>
        <w:tc>
          <w:tcPr>
            <w:tcW w:w="10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024219F" w14:textId="77777777" w:rsidR="00946D3C" w:rsidRDefault="00946D3C" w:rsidP="00155891">
            <w:pPr>
              <w:jc w:val="center"/>
            </w:pPr>
            <w:r>
              <w:rPr>
                <w:rFonts w:ascii="Arial" w:hAnsi="Arial"/>
                <w:color w:val="2C2C2C"/>
                <w:sz w:val="19"/>
              </w:rPr>
              <w:t>$593.30</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52A9EB0" w14:textId="77777777" w:rsidR="00946D3C" w:rsidRDefault="00946D3C" w:rsidP="00155891">
            <w:pPr>
              <w:jc w:val="center"/>
            </w:pPr>
            <w:r>
              <w:rPr>
                <w:rFonts w:ascii="Arial" w:hAnsi="Arial"/>
                <w:color w:val="1A6B3A"/>
                <w:sz w:val="19"/>
              </w:rPr>
              <w:t>+1.4%</w:t>
            </w:r>
          </w:p>
        </w:tc>
        <w:tc>
          <w:tcPr>
            <w:tcW w:w="8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F169C2D" w14:textId="77777777" w:rsidR="00946D3C" w:rsidRDefault="00946D3C" w:rsidP="00155891">
            <w:pPr>
              <w:jc w:val="center"/>
            </w:pPr>
            <w:r>
              <w:rPr>
                <w:rFonts w:ascii="Arial" w:hAnsi="Arial"/>
                <w:color w:val="2C2C2C"/>
                <w:sz w:val="19"/>
              </w:rPr>
              <w:t>0.08%</w:t>
            </w:r>
          </w:p>
        </w:tc>
      </w:tr>
      <w:tr w:rsidR="00946D3C" w14:paraId="4A7200E2"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DD3105F" w14:textId="77777777" w:rsidR="00946D3C" w:rsidRDefault="00946D3C" w:rsidP="00155891">
            <w:pPr>
              <w:jc w:val="center"/>
            </w:pPr>
            <w:r>
              <w:rPr>
                <w:rFonts w:ascii="Arial" w:hAnsi="Arial"/>
                <w:b/>
                <w:color w:val="2C2C2C"/>
                <w:sz w:val="19"/>
              </w:rPr>
              <w:t>ETN</w:t>
            </w:r>
          </w:p>
        </w:tc>
        <w:tc>
          <w:tcPr>
            <w:tcW w:w="17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1527C8C2" w14:textId="77777777" w:rsidR="00946D3C" w:rsidRDefault="00946D3C" w:rsidP="00155891">
            <w:pPr>
              <w:jc w:val="center"/>
            </w:pPr>
            <w:r>
              <w:rPr>
                <w:rFonts w:ascii="Arial" w:hAnsi="Arial"/>
                <w:color w:val="2C2C2C"/>
                <w:sz w:val="19"/>
              </w:rPr>
              <w:t>Eaton Corporation</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24D6F74" w14:textId="77777777" w:rsidR="00946D3C" w:rsidRDefault="00946D3C" w:rsidP="00155891">
            <w:pPr>
              <w:jc w:val="center"/>
            </w:pPr>
            <w:r>
              <w:rPr>
                <w:rFonts w:ascii="Arial" w:hAnsi="Arial"/>
                <w:color w:val="2C2C2C"/>
                <w:sz w:val="19"/>
              </w:rPr>
              <w:t>$395.00</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FB978B9" w14:textId="77777777" w:rsidR="00946D3C" w:rsidRDefault="00946D3C" w:rsidP="00155891">
            <w:pPr>
              <w:jc w:val="center"/>
            </w:pPr>
            <w:r>
              <w:rPr>
                <w:rFonts w:ascii="Arial" w:hAnsi="Arial"/>
                <w:color w:val="2C2C2C"/>
                <w:sz w:val="19"/>
              </w:rPr>
              <w:t>$10.53</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9594B43" w14:textId="77777777" w:rsidR="00946D3C" w:rsidRDefault="00946D3C" w:rsidP="00155891">
            <w:pPr>
              <w:jc w:val="center"/>
            </w:pPr>
            <w:r>
              <w:rPr>
                <w:rFonts w:ascii="Arial" w:hAnsi="Arial"/>
                <w:color w:val="2C2C2C"/>
                <w:sz w:val="19"/>
              </w:rPr>
              <w:t>37.5x</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1A9456C" w14:textId="77777777" w:rsidR="00946D3C" w:rsidRDefault="00946D3C" w:rsidP="00155891">
            <w:pPr>
              <w:jc w:val="center"/>
            </w:pPr>
            <w:r>
              <w:rPr>
                <w:rFonts w:ascii="Arial" w:hAnsi="Arial"/>
                <w:color w:val="2C2C2C"/>
                <w:sz w:val="19"/>
              </w:rPr>
              <w:t>$4.08</w:t>
            </w:r>
          </w:p>
        </w:tc>
        <w:tc>
          <w:tcPr>
            <w:tcW w:w="10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75D91247" w14:textId="77777777" w:rsidR="00946D3C" w:rsidRDefault="00946D3C" w:rsidP="00155891">
            <w:pPr>
              <w:jc w:val="center"/>
            </w:pPr>
            <w:r>
              <w:rPr>
                <w:rFonts w:ascii="Arial" w:hAnsi="Arial"/>
                <w:color w:val="2C2C2C"/>
                <w:sz w:val="19"/>
              </w:rPr>
              <w:t>$404.62</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39F2A07" w14:textId="77777777" w:rsidR="00946D3C" w:rsidRDefault="00946D3C" w:rsidP="00155891">
            <w:pPr>
              <w:jc w:val="center"/>
            </w:pPr>
            <w:r>
              <w:rPr>
                <w:rFonts w:ascii="Arial" w:hAnsi="Arial"/>
                <w:color w:val="1A6B3A"/>
                <w:sz w:val="19"/>
              </w:rPr>
              <w:t>+2.4%</w:t>
            </w:r>
          </w:p>
        </w:tc>
        <w:tc>
          <w:tcPr>
            <w:tcW w:w="8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C1C082A" w14:textId="77777777" w:rsidR="00946D3C" w:rsidRDefault="00946D3C" w:rsidP="00155891">
            <w:pPr>
              <w:jc w:val="center"/>
            </w:pPr>
            <w:r>
              <w:rPr>
                <w:rFonts w:ascii="Arial" w:hAnsi="Arial"/>
                <w:color w:val="2C2C2C"/>
                <w:sz w:val="19"/>
              </w:rPr>
              <w:t>1.03%</w:t>
            </w:r>
          </w:p>
        </w:tc>
      </w:tr>
      <w:tr w:rsidR="00946D3C" w14:paraId="464622FB"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298BED6" w14:textId="77777777" w:rsidR="00946D3C" w:rsidRDefault="00946D3C" w:rsidP="00155891">
            <w:pPr>
              <w:jc w:val="center"/>
            </w:pPr>
            <w:r>
              <w:rPr>
                <w:rFonts w:ascii="Arial" w:hAnsi="Arial"/>
                <w:b/>
                <w:color w:val="2C2C2C"/>
                <w:sz w:val="19"/>
              </w:rPr>
              <w:t>AEP</w:t>
            </w:r>
          </w:p>
        </w:tc>
        <w:tc>
          <w:tcPr>
            <w:tcW w:w="17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8DDDE54" w14:textId="77777777" w:rsidR="00946D3C" w:rsidRDefault="00946D3C" w:rsidP="00155891">
            <w:pPr>
              <w:jc w:val="center"/>
            </w:pPr>
            <w:r>
              <w:rPr>
                <w:rFonts w:ascii="Arial" w:hAnsi="Arial"/>
                <w:color w:val="2C2C2C"/>
                <w:sz w:val="19"/>
              </w:rPr>
              <w:t>Am. Electric Power</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2A6F40A" w14:textId="77777777" w:rsidR="00946D3C" w:rsidRDefault="00946D3C" w:rsidP="00155891">
            <w:pPr>
              <w:jc w:val="center"/>
            </w:pPr>
            <w:r>
              <w:rPr>
                <w:rFonts w:ascii="Arial" w:hAnsi="Arial"/>
                <w:color w:val="2C2C2C"/>
                <w:sz w:val="19"/>
              </w:rPr>
              <w:t>$131.50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19ECEDF7" w14:textId="77777777" w:rsidR="00946D3C" w:rsidRDefault="00946D3C" w:rsidP="00155891">
            <w:pPr>
              <w:jc w:val="center"/>
            </w:pPr>
            <w:r>
              <w:rPr>
                <w:rFonts w:ascii="Arial" w:hAnsi="Arial"/>
                <w:color w:val="2C2C2C"/>
                <w:sz w:val="19"/>
              </w:rPr>
              <w:t>$5.35</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171D767" w14:textId="77777777" w:rsidR="00946D3C" w:rsidRDefault="00946D3C" w:rsidP="00155891">
            <w:pPr>
              <w:jc w:val="center"/>
            </w:pPr>
            <w:r>
              <w:rPr>
                <w:rFonts w:ascii="Arial" w:hAnsi="Arial"/>
                <w:color w:val="2C2C2C"/>
                <w:sz w:val="19"/>
              </w:rPr>
              <w:t>24.6x</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7614682" w14:textId="77777777" w:rsidR="00946D3C" w:rsidRDefault="00946D3C" w:rsidP="00155891">
            <w:pPr>
              <w:jc w:val="center"/>
            </w:pPr>
            <w:r>
              <w:rPr>
                <w:rFonts w:ascii="Arial" w:hAnsi="Arial"/>
                <w:color w:val="2C2C2C"/>
                <w:sz w:val="19"/>
              </w:rPr>
              <w:t>$3.80</w:t>
            </w:r>
          </w:p>
        </w:tc>
        <w:tc>
          <w:tcPr>
            <w:tcW w:w="10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9DADCFD" w14:textId="77777777" w:rsidR="00946D3C" w:rsidRDefault="00946D3C" w:rsidP="00155891">
            <w:pPr>
              <w:jc w:val="center"/>
            </w:pPr>
            <w:r>
              <w:rPr>
                <w:rFonts w:ascii="Arial" w:hAnsi="Arial"/>
                <w:color w:val="2C2C2C"/>
                <w:sz w:val="19"/>
              </w:rPr>
              <w:t>$136.81</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C5CC82E" w14:textId="77777777" w:rsidR="00946D3C" w:rsidRDefault="00946D3C" w:rsidP="00155891">
            <w:pPr>
              <w:jc w:val="center"/>
            </w:pPr>
            <w:r>
              <w:rPr>
                <w:rFonts w:ascii="Arial" w:hAnsi="Arial"/>
                <w:color w:val="1A6B3A"/>
                <w:sz w:val="19"/>
              </w:rPr>
              <w:t>+4.0%</w:t>
            </w:r>
          </w:p>
        </w:tc>
        <w:tc>
          <w:tcPr>
            <w:tcW w:w="8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5E784043" w14:textId="77777777" w:rsidR="00946D3C" w:rsidRDefault="00946D3C" w:rsidP="00155891">
            <w:pPr>
              <w:jc w:val="center"/>
            </w:pPr>
            <w:r>
              <w:rPr>
                <w:rFonts w:ascii="Arial" w:hAnsi="Arial"/>
                <w:color w:val="2C2C2C"/>
                <w:sz w:val="19"/>
              </w:rPr>
              <w:t>2.89%</w:t>
            </w:r>
          </w:p>
        </w:tc>
      </w:tr>
      <w:tr w:rsidR="00946D3C" w14:paraId="2DDA3B9B"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BB8CC75" w14:textId="77777777" w:rsidR="00946D3C" w:rsidRDefault="00946D3C" w:rsidP="00155891">
            <w:pPr>
              <w:jc w:val="center"/>
            </w:pPr>
            <w:r>
              <w:rPr>
                <w:rFonts w:ascii="Arial" w:hAnsi="Arial"/>
                <w:b/>
                <w:color w:val="2C2C2C"/>
                <w:sz w:val="19"/>
              </w:rPr>
              <w:t>SBGSY</w:t>
            </w:r>
          </w:p>
        </w:tc>
        <w:tc>
          <w:tcPr>
            <w:tcW w:w="17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B884CBD" w14:textId="77777777" w:rsidR="00946D3C" w:rsidRDefault="00946D3C" w:rsidP="00155891">
            <w:pPr>
              <w:jc w:val="center"/>
            </w:pPr>
            <w:r>
              <w:rPr>
                <w:rFonts w:ascii="Arial" w:hAnsi="Arial"/>
                <w:color w:val="2C2C2C"/>
                <w:sz w:val="19"/>
              </w:rPr>
              <w:t>Schneider Electric</w:t>
            </w:r>
          </w:p>
        </w:tc>
        <w:tc>
          <w:tcPr>
            <w:tcW w:w="9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6F4DD41" w14:textId="77777777" w:rsidR="00946D3C" w:rsidRDefault="00946D3C" w:rsidP="00155891">
            <w:pPr>
              <w:jc w:val="center"/>
            </w:pPr>
            <w:r>
              <w:rPr>
                <w:rFonts w:ascii="Arial" w:hAnsi="Arial"/>
                <w:color w:val="2C2C2C"/>
                <w:sz w:val="19"/>
              </w:rPr>
              <w:t>$62.15</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3AD8E459" w14:textId="77777777" w:rsidR="00946D3C" w:rsidRDefault="00946D3C" w:rsidP="00155891">
            <w:pPr>
              <w:jc w:val="center"/>
            </w:pPr>
            <w:r>
              <w:rPr>
                <w:rFonts w:ascii="Arial" w:hAnsi="Arial"/>
                <w:color w:val="2C2C2C"/>
                <w:sz w:val="19"/>
              </w:rPr>
              <w:t>$1.65</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2DBD0D17" w14:textId="77777777" w:rsidR="00946D3C" w:rsidRDefault="00946D3C" w:rsidP="00155891">
            <w:pPr>
              <w:jc w:val="center"/>
            </w:pPr>
            <w:r>
              <w:rPr>
                <w:rFonts w:ascii="Arial" w:hAnsi="Arial"/>
                <w:color w:val="2C2C2C"/>
                <w:sz w:val="19"/>
              </w:rPr>
              <w:t>37.7x</w:t>
            </w:r>
          </w:p>
        </w:tc>
        <w:tc>
          <w:tcPr>
            <w:tcW w:w="100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48ABEE44" w14:textId="77777777" w:rsidR="00946D3C" w:rsidRDefault="00946D3C" w:rsidP="00155891">
            <w:pPr>
              <w:jc w:val="center"/>
            </w:pPr>
            <w:r>
              <w:rPr>
                <w:rFonts w:ascii="Arial" w:hAnsi="Arial"/>
                <w:color w:val="2C2C2C"/>
                <w:sz w:val="19"/>
              </w:rPr>
              <w:t>$0.57</w:t>
            </w:r>
          </w:p>
        </w:tc>
        <w:tc>
          <w:tcPr>
            <w:tcW w:w="105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06E0886A" w14:textId="77777777" w:rsidR="00946D3C" w:rsidRDefault="00946D3C" w:rsidP="00155891">
            <w:pPr>
              <w:jc w:val="center"/>
            </w:pPr>
            <w:r>
              <w:rPr>
                <w:rFonts w:ascii="Arial" w:hAnsi="Arial"/>
                <w:color w:val="2C2C2C"/>
                <w:sz w:val="19"/>
              </w:rPr>
              <w:t>$65.10</w:t>
            </w:r>
          </w:p>
        </w:tc>
        <w:tc>
          <w:tcPr>
            <w:tcW w:w="88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6EDDF896" w14:textId="77777777" w:rsidR="00946D3C" w:rsidRDefault="00946D3C" w:rsidP="00155891">
            <w:pPr>
              <w:jc w:val="center"/>
            </w:pPr>
            <w:r>
              <w:rPr>
                <w:rFonts w:ascii="Arial" w:hAnsi="Arial"/>
                <w:color w:val="1A6B3A"/>
                <w:sz w:val="19"/>
              </w:rPr>
              <w:t>+4.7%</w:t>
            </w:r>
          </w:p>
        </w:tc>
        <w:tc>
          <w:tcPr>
            <w:tcW w:w="820" w:type="dxa"/>
            <w:tcBorders>
              <w:top w:val="single" w:sz="1" w:space="0" w:color="CCCCCC"/>
              <w:left w:val="single" w:sz="1" w:space="0" w:color="CCCCCC"/>
              <w:bottom w:val="single" w:sz="1" w:space="0" w:color="CCCCCC"/>
              <w:right w:val="single" w:sz="1" w:space="0" w:color="CCCCCC"/>
            </w:tcBorders>
            <w:shd w:val="clear" w:color="auto" w:fill="F5F8FC"/>
            <w:vAlign w:val="center"/>
          </w:tcPr>
          <w:p w14:paraId="54968787" w14:textId="77777777" w:rsidR="00946D3C" w:rsidRDefault="00946D3C" w:rsidP="00155891">
            <w:pPr>
              <w:jc w:val="center"/>
            </w:pPr>
            <w:r>
              <w:rPr>
                <w:rFonts w:ascii="Arial" w:hAnsi="Arial"/>
                <w:color w:val="2C2C2C"/>
                <w:sz w:val="19"/>
              </w:rPr>
              <w:t>0.92%</w:t>
            </w:r>
          </w:p>
        </w:tc>
      </w:tr>
      <w:tr w:rsidR="00946D3C" w14:paraId="5BC488CE"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282D82ED" w14:textId="77777777" w:rsidR="00946D3C" w:rsidRDefault="00946D3C" w:rsidP="00155891">
            <w:pPr>
              <w:jc w:val="center"/>
            </w:pPr>
            <w:r>
              <w:rPr>
                <w:rFonts w:ascii="Arial" w:hAnsi="Arial"/>
                <w:b/>
                <w:color w:val="2C2C2C"/>
                <w:sz w:val="19"/>
              </w:rPr>
              <w:t>NVT</w:t>
            </w:r>
          </w:p>
        </w:tc>
        <w:tc>
          <w:tcPr>
            <w:tcW w:w="17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5047ADD" w14:textId="77777777" w:rsidR="00946D3C" w:rsidRDefault="00946D3C" w:rsidP="00155891">
            <w:pPr>
              <w:jc w:val="center"/>
            </w:pPr>
            <w:proofErr w:type="spellStart"/>
            <w:r>
              <w:rPr>
                <w:rFonts w:ascii="Arial" w:hAnsi="Arial"/>
                <w:color w:val="2C2C2C"/>
                <w:sz w:val="19"/>
              </w:rPr>
              <w:t>nVent</w:t>
            </w:r>
            <w:proofErr w:type="spellEnd"/>
            <w:r>
              <w:rPr>
                <w:rFonts w:ascii="Arial" w:hAnsi="Arial"/>
                <w:color w:val="2C2C2C"/>
                <w:sz w:val="19"/>
              </w:rPr>
              <w:t xml:space="preserve"> Electric</w:t>
            </w:r>
          </w:p>
        </w:tc>
        <w:tc>
          <w:tcPr>
            <w:tcW w:w="9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47EA560A" w14:textId="77777777" w:rsidR="00946D3C" w:rsidRDefault="00946D3C" w:rsidP="00155891">
            <w:pPr>
              <w:jc w:val="center"/>
            </w:pPr>
            <w:r>
              <w:rPr>
                <w:rFonts w:ascii="Arial" w:hAnsi="Arial"/>
                <w:color w:val="2C2C2C"/>
                <w:sz w:val="19"/>
              </w:rPr>
              <w:t>$131.38</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3F38ABD" w14:textId="77777777" w:rsidR="00946D3C" w:rsidRDefault="00946D3C" w:rsidP="00155891">
            <w:pPr>
              <w:jc w:val="center"/>
            </w:pPr>
            <w:r>
              <w:rPr>
                <w:rFonts w:ascii="Arial" w:hAnsi="Arial"/>
                <w:color w:val="2C2C2C"/>
                <w:sz w:val="19"/>
              </w:rPr>
              <w:t>$2.60</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311E249E" w14:textId="77777777" w:rsidR="00946D3C" w:rsidRDefault="00946D3C" w:rsidP="00155891">
            <w:pPr>
              <w:jc w:val="center"/>
            </w:pPr>
            <w:r>
              <w:rPr>
                <w:rFonts w:ascii="Arial" w:hAnsi="Arial"/>
                <w:color w:val="2C2C2C"/>
                <w:sz w:val="19"/>
              </w:rPr>
              <w:t>50.5x</w:t>
            </w:r>
          </w:p>
        </w:tc>
        <w:tc>
          <w:tcPr>
            <w:tcW w:w="100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6C6F7E76" w14:textId="77777777" w:rsidR="00946D3C" w:rsidRDefault="00946D3C" w:rsidP="00155891">
            <w:pPr>
              <w:jc w:val="center"/>
            </w:pPr>
            <w:r>
              <w:rPr>
                <w:rFonts w:ascii="Arial" w:hAnsi="Arial"/>
                <w:color w:val="2C2C2C"/>
                <w:sz w:val="19"/>
              </w:rPr>
              <w:t>$0.84</w:t>
            </w:r>
          </w:p>
        </w:tc>
        <w:tc>
          <w:tcPr>
            <w:tcW w:w="105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C53767F" w14:textId="77777777" w:rsidR="00946D3C" w:rsidRDefault="00946D3C" w:rsidP="00155891">
            <w:pPr>
              <w:jc w:val="center"/>
            </w:pPr>
            <w:r>
              <w:rPr>
                <w:rFonts w:ascii="Arial" w:hAnsi="Arial"/>
                <w:color w:val="2C2C2C"/>
                <w:sz w:val="19"/>
              </w:rPr>
              <w:t>$148.31</w:t>
            </w:r>
          </w:p>
        </w:tc>
        <w:tc>
          <w:tcPr>
            <w:tcW w:w="88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78F5A2C0" w14:textId="77777777" w:rsidR="00946D3C" w:rsidRDefault="00946D3C" w:rsidP="00155891">
            <w:pPr>
              <w:jc w:val="center"/>
            </w:pPr>
            <w:r>
              <w:rPr>
                <w:rFonts w:ascii="Arial" w:hAnsi="Arial"/>
                <w:color w:val="1A6B3A"/>
                <w:sz w:val="19"/>
              </w:rPr>
              <w:t>+12.9%</w:t>
            </w:r>
          </w:p>
        </w:tc>
        <w:tc>
          <w:tcPr>
            <w:tcW w:w="820" w:type="dxa"/>
            <w:tcBorders>
              <w:top w:val="single" w:sz="1" w:space="0" w:color="CCCCCC"/>
              <w:left w:val="single" w:sz="1" w:space="0" w:color="CCCCCC"/>
              <w:bottom w:val="single" w:sz="1" w:space="0" w:color="CCCCCC"/>
              <w:right w:val="single" w:sz="1" w:space="0" w:color="CCCCCC"/>
            </w:tcBorders>
            <w:shd w:val="clear" w:color="auto" w:fill="FFFFFF"/>
            <w:vAlign w:val="center"/>
          </w:tcPr>
          <w:p w14:paraId="02719DEF" w14:textId="77777777" w:rsidR="00946D3C" w:rsidRDefault="00946D3C" w:rsidP="00155891">
            <w:pPr>
              <w:jc w:val="center"/>
            </w:pPr>
            <w:r>
              <w:rPr>
                <w:rFonts w:ascii="Arial" w:hAnsi="Arial"/>
                <w:color w:val="2C2C2C"/>
                <w:sz w:val="19"/>
              </w:rPr>
              <w:t>0.64%</w:t>
            </w:r>
          </w:p>
        </w:tc>
      </w:tr>
      <w:tr w:rsidR="00946D3C" w14:paraId="0A780DFD"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1DC11C69" w14:textId="77777777" w:rsidR="00946D3C" w:rsidRDefault="00946D3C" w:rsidP="00155891">
            <w:pPr>
              <w:jc w:val="center"/>
            </w:pPr>
            <w:r>
              <w:rPr>
                <w:rFonts w:ascii="Arial" w:hAnsi="Arial"/>
                <w:b/>
                <w:color w:val="2C2C2C"/>
                <w:sz w:val="19"/>
              </w:rPr>
              <w:t>HUBB</w:t>
            </w:r>
          </w:p>
        </w:tc>
        <w:tc>
          <w:tcPr>
            <w:tcW w:w="172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146B9CE6" w14:textId="77777777" w:rsidR="00946D3C" w:rsidRDefault="00946D3C" w:rsidP="00155891">
            <w:pPr>
              <w:jc w:val="center"/>
            </w:pPr>
            <w:r>
              <w:rPr>
                <w:rFonts w:ascii="Arial" w:hAnsi="Arial"/>
                <w:color w:val="2C2C2C"/>
                <w:sz w:val="19"/>
              </w:rPr>
              <w:t>Hubbell Inc.</w:t>
            </w:r>
          </w:p>
        </w:tc>
        <w:tc>
          <w:tcPr>
            <w:tcW w:w="9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7F6ED23B" w14:textId="77777777" w:rsidR="00946D3C" w:rsidRDefault="00946D3C" w:rsidP="00155891">
            <w:pPr>
              <w:jc w:val="center"/>
            </w:pPr>
            <w:r>
              <w:rPr>
                <w:rFonts w:ascii="Arial" w:hAnsi="Arial"/>
                <w:color w:val="2C2C2C"/>
                <w:sz w:val="19"/>
              </w:rPr>
              <w:t>$526.94</w:t>
            </w:r>
          </w:p>
        </w:tc>
        <w:tc>
          <w:tcPr>
            <w:tcW w:w="10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598427DB" w14:textId="77777777" w:rsidR="00946D3C" w:rsidRDefault="00946D3C" w:rsidP="00155891">
            <w:pPr>
              <w:jc w:val="center"/>
            </w:pPr>
            <w:r>
              <w:rPr>
                <w:rFonts w:ascii="Arial" w:hAnsi="Arial"/>
                <w:color w:val="2C2C2C"/>
                <w:sz w:val="19"/>
              </w:rPr>
              <w:t>$15.80</w:t>
            </w:r>
          </w:p>
        </w:tc>
        <w:tc>
          <w:tcPr>
            <w:tcW w:w="10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3DF9D127" w14:textId="77777777" w:rsidR="00946D3C" w:rsidRDefault="00946D3C" w:rsidP="00155891">
            <w:pPr>
              <w:jc w:val="center"/>
            </w:pPr>
            <w:r>
              <w:rPr>
                <w:rFonts w:ascii="Arial" w:hAnsi="Arial"/>
                <w:color w:val="2C2C2C"/>
                <w:sz w:val="19"/>
              </w:rPr>
              <w:t>33.4x</w:t>
            </w:r>
          </w:p>
        </w:tc>
        <w:tc>
          <w:tcPr>
            <w:tcW w:w="100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33D9A1C8" w14:textId="77777777" w:rsidR="00946D3C" w:rsidRDefault="00946D3C" w:rsidP="00155891">
            <w:pPr>
              <w:jc w:val="center"/>
            </w:pPr>
            <w:r>
              <w:rPr>
                <w:rFonts w:ascii="Arial" w:hAnsi="Arial"/>
                <w:color w:val="2C2C2C"/>
                <w:sz w:val="19"/>
              </w:rPr>
              <w:t>$4.88</w:t>
            </w:r>
          </w:p>
        </w:tc>
        <w:tc>
          <w:tcPr>
            <w:tcW w:w="105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3F203C9D" w14:textId="77777777" w:rsidR="00946D3C" w:rsidRDefault="00946D3C" w:rsidP="00155891">
            <w:pPr>
              <w:jc w:val="center"/>
            </w:pPr>
            <w:r>
              <w:rPr>
                <w:rFonts w:ascii="Arial" w:hAnsi="Arial"/>
                <w:color w:val="2C2C2C"/>
                <w:sz w:val="19"/>
              </w:rPr>
              <w:t>$445.50</w:t>
            </w:r>
          </w:p>
        </w:tc>
        <w:tc>
          <w:tcPr>
            <w:tcW w:w="88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52C22D66" w14:textId="77777777" w:rsidR="00946D3C" w:rsidRDefault="00946D3C" w:rsidP="00155891">
            <w:pPr>
              <w:jc w:val="center"/>
            </w:pPr>
            <w:r>
              <w:rPr>
                <w:rFonts w:ascii="Arial" w:hAnsi="Arial"/>
                <w:color w:val="8B1A1A"/>
                <w:sz w:val="19"/>
              </w:rPr>
              <w:t>−15.5%</w:t>
            </w:r>
          </w:p>
        </w:tc>
        <w:tc>
          <w:tcPr>
            <w:tcW w:w="820" w:type="dxa"/>
            <w:tcBorders>
              <w:top w:val="single" w:sz="1" w:space="0" w:color="CCCCCC"/>
              <w:left w:val="single" w:sz="1" w:space="0" w:color="CCCCCC"/>
              <w:bottom w:val="single" w:sz="1" w:space="0" w:color="CCCCCC"/>
              <w:right w:val="single" w:sz="1" w:space="0" w:color="CCCCCC"/>
            </w:tcBorders>
            <w:shd w:val="clear" w:color="auto" w:fill="FFEBEE"/>
            <w:vAlign w:val="center"/>
          </w:tcPr>
          <w:p w14:paraId="7E547E23" w14:textId="77777777" w:rsidR="00946D3C" w:rsidRDefault="00946D3C" w:rsidP="00155891">
            <w:pPr>
              <w:jc w:val="center"/>
            </w:pPr>
            <w:r>
              <w:rPr>
                <w:rFonts w:ascii="Arial" w:hAnsi="Arial"/>
                <w:color w:val="2C2C2C"/>
                <w:sz w:val="19"/>
              </w:rPr>
              <w:t>0.93%</w:t>
            </w:r>
          </w:p>
        </w:tc>
      </w:tr>
      <w:tr w:rsidR="00946D3C" w14:paraId="0455720C" w14:textId="77777777" w:rsidTr="00946D3C">
        <w:tblPrEx>
          <w:tblCellMar>
            <w:top w:w="0" w:type="dxa"/>
            <w:bottom w:w="0" w:type="dxa"/>
          </w:tblCellMar>
        </w:tblPrEx>
        <w:trPr>
          <w:jc w:val="center"/>
        </w:trPr>
        <w:tc>
          <w:tcPr>
            <w:tcW w:w="99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3ABD4D65" w14:textId="77777777" w:rsidR="00946D3C" w:rsidRDefault="00946D3C" w:rsidP="00155891">
            <w:pPr>
              <w:jc w:val="center"/>
            </w:pPr>
            <w:r>
              <w:rPr>
                <w:rFonts w:ascii="Arial" w:hAnsi="Arial"/>
                <w:b/>
                <w:color w:val="2C2C2C"/>
                <w:sz w:val="19"/>
              </w:rPr>
              <w:t>MLI</w:t>
            </w:r>
          </w:p>
        </w:tc>
        <w:tc>
          <w:tcPr>
            <w:tcW w:w="172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0B4EF529" w14:textId="77777777" w:rsidR="00946D3C" w:rsidRDefault="00946D3C" w:rsidP="00155891">
            <w:pPr>
              <w:jc w:val="center"/>
            </w:pPr>
            <w:r>
              <w:rPr>
                <w:rFonts w:ascii="Arial" w:hAnsi="Arial"/>
                <w:color w:val="2C2C2C"/>
                <w:sz w:val="19"/>
              </w:rPr>
              <w:t>Mueller Industries</w:t>
            </w:r>
          </w:p>
        </w:tc>
        <w:tc>
          <w:tcPr>
            <w:tcW w:w="9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6F1FD4B9" w14:textId="77777777" w:rsidR="00946D3C" w:rsidRDefault="00946D3C" w:rsidP="00155891">
            <w:pPr>
              <w:jc w:val="center"/>
            </w:pPr>
            <w:r>
              <w:rPr>
                <w:rFonts w:ascii="Arial" w:hAnsi="Arial"/>
                <w:color w:val="2C2C2C"/>
                <w:sz w:val="19"/>
              </w:rPr>
              <w:t>$118.25</w:t>
            </w:r>
          </w:p>
        </w:tc>
        <w:tc>
          <w:tcPr>
            <w:tcW w:w="10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3330AB34" w14:textId="77777777" w:rsidR="00946D3C" w:rsidRDefault="00946D3C" w:rsidP="00155891">
            <w:pPr>
              <w:jc w:val="center"/>
            </w:pPr>
            <w:r>
              <w:rPr>
                <w:rFonts w:ascii="Arial" w:hAnsi="Arial"/>
                <w:color w:val="2C2C2C"/>
                <w:sz w:val="19"/>
              </w:rPr>
              <w:t>$6.54</w:t>
            </w:r>
          </w:p>
        </w:tc>
        <w:tc>
          <w:tcPr>
            <w:tcW w:w="10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6D24B63D" w14:textId="77777777" w:rsidR="00946D3C" w:rsidRDefault="00946D3C" w:rsidP="00155891">
            <w:pPr>
              <w:jc w:val="center"/>
            </w:pPr>
            <w:r>
              <w:rPr>
                <w:rFonts w:ascii="Arial" w:hAnsi="Arial"/>
                <w:color w:val="2C2C2C"/>
                <w:sz w:val="19"/>
              </w:rPr>
              <w:t>18.1x</w:t>
            </w:r>
          </w:p>
        </w:tc>
        <w:tc>
          <w:tcPr>
            <w:tcW w:w="100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347045E3" w14:textId="77777777" w:rsidR="00946D3C" w:rsidRDefault="00946D3C" w:rsidP="00155891">
            <w:pPr>
              <w:jc w:val="center"/>
            </w:pPr>
            <w:r>
              <w:rPr>
                <w:rFonts w:ascii="Arial" w:hAnsi="Arial"/>
                <w:color w:val="2C2C2C"/>
                <w:sz w:val="19"/>
              </w:rPr>
              <w:t>$0.80</w:t>
            </w:r>
          </w:p>
        </w:tc>
        <w:tc>
          <w:tcPr>
            <w:tcW w:w="105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5235D561" w14:textId="77777777" w:rsidR="00946D3C" w:rsidRDefault="00946D3C" w:rsidP="00155891">
            <w:pPr>
              <w:jc w:val="center"/>
            </w:pPr>
            <w:r>
              <w:rPr>
                <w:rFonts w:ascii="Arial" w:hAnsi="Arial"/>
                <w:color w:val="2C2C2C"/>
                <w:sz w:val="19"/>
              </w:rPr>
              <w:t>$142.80</w:t>
            </w:r>
          </w:p>
        </w:tc>
        <w:tc>
          <w:tcPr>
            <w:tcW w:w="88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7647C1C0" w14:textId="77777777" w:rsidR="00946D3C" w:rsidRDefault="00946D3C" w:rsidP="00155891">
            <w:pPr>
              <w:jc w:val="center"/>
            </w:pPr>
            <w:r>
              <w:rPr>
                <w:rFonts w:ascii="Arial" w:hAnsi="Arial"/>
                <w:color w:val="1A6B3A"/>
                <w:sz w:val="19"/>
              </w:rPr>
              <w:t>+20.8%</w:t>
            </w:r>
          </w:p>
        </w:tc>
        <w:tc>
          <w:tcPr>
            <w:tcW w:w="820" w:type="dxa"/>
            <w:tcBorders>
              <w:top w:val="single" w:sz="1" w:space="0" w:color="CCCCCC"/>
              <w:left w:val="single" w:sz="1" w:space="0" w:color="CCCCCC"/>
              <w:bottom w:val="single" w:sz="1" w:space="0" w:color="CCCCCC"/>
              <w:right w:val="single" w:sz="1" w:space="0" w:color="CCCCCC"/>
            </w:tcBorders>
            <w:shd w:val="clear" w:color="auto" w:fill="E8F5E9"/>
            <w:vAlign w:val="center"/>
          </w:tcPr>
          <w:p w14:paraId="39E0E8F3" w14:textId="77777777" w:rsidR="00946D3C" w:rsidRDefault="00946D3C" w:rsidP="00155891">
            <w:pPr>
              <w:jc w:val="center"/>
            </w:pPr>
            <w:r>
              <w:rPr>
                <w:rFonts w:ascii="Arial" w:hAnsi="Arial"/>
                <w:color w:val="2C2C2C"/>
                <w:sz w:val="19"/>
              </w:rPr>
              <w:t>0.68%</w:t>
            </w:r>
          </w:p>
        </w:tc>
      </w:tr>
    </w:tbl>
    <w:p w14:paraId="57525F96" w14:textId="77777777" w:rsidR="00946D3C" w:rsidRDefault="00946D3C" w:rsidP="00B25185">
      <w:pPr>
        <w:rPr>
          <w:lang w:val="en-CA"/>
        </w:rPr>
      </w:pPr>
    </w:p>
    <w:p w14:paraId="3B1011B7" w14:textId="77777777" w:rsidR="00946D3C" w:rsidRPr="00946D3C" w:rsidRDefault="00946D3C" w:rsidP="00946D3C">
      <w:pPr>
        <w:spacing w:before="30" w:after="100"/>
        <w:jc w:val="center"/>
        <w:rPr>
          <w:lang w:val="en-CA"/>
        </w:rPr>
      </w:pPr>
      <w:r w:rsidRPr="00946D3C">
        <w:rPr>
          <w:rFonts w:ascii="Arial" w:eastAsia="Arial" w:hAnsi="Arial" w:cs="Arial"/>
          <w:color w:val="666666"/>
          <w:sz w:val="17"/>
          <w:lang w:val="en-CA"/>
        </w:rPr>
        <w:t xml:space="preserve">Table </w:t>
      </w:r>
      <w:proofErr w:type="gramStart"/>
      <w:r w:rsidRPr="00946D3C">
        <w:rPr>
          <w:rFonts w:ascii="Arial" w:eastAsia="Arial" w:hAnsi="Arial" w:cs="Arial"/>
          <w:color w:val="666666"/>
          <w:sz w:val="17"/>
          <w:lang w:val="en-CA"/>
        </w:rPr>
        <w:t>6.1  -</w:t>
      </w:r>
      <w:proofErr w:type="gramEnd"/>
      <w:r w:rsidRPr="00946D3C">
        <w:rPr>
          <w:rFonts w:ascii="Arial" w:eastAsia="Arial" w:hAnsi="Arial" w:cs="Arial"/>
          <w:color w:val="666666"/>
          <w:sz w:val="17"/>
          <w:lang w:val="en-CA"/>
        </w:rPr>
        <w:t xml:space="preserve">  Portfolio Valuation Summary: Prices, EPS, P/E, Forward Dividends, Analyst Targets and Implied Returns. As of April 15, 2026. Source: Data. Securities sheet, ACWI_index_FV.xlsx; Bloomberg consensus.</w:t>
      </w:r>
    </w:p>
    <w:p w14:paraId="5B7CC625" w14:textId="3D4961A4" w:rsidR="00B25185" w:rsidRPr="00B25185" w:rsidRDefault="00175B2B" w:rsidP="00B25185">
      <w:pPr>
        <w:pStyle w:val="Heading3"/>
      </w:pPr>
      <w:bookmarkStart w:id="45" w:name="_Toc227618181"/>
      <w:r w:rsidRPr="00B25185">
        <w:rPr>
          <w:rFonts w:eastAsia="Arial"/>
        </w:rPr>
        <w:t>6.2 Valuation</w:t>
      </w:r>
      <w:r w:rsidR="00B25185" w:rsidRPr="00B25185">
        <w:rPr>
          <w:rFonts w:eastAsia="Arial"/>
        </w:rPr>
        <w:t xml:space="preserve"> vs. Active Weight Alignment</w:t>
      </w:r>
      <w:bookmarkEnd w:id="45"/>
    </w:p>
    <w:p w14:paraId="4D9238B0" w14:textId="77777777" w:rsidR="00946D3C" w:rsidRPr="00946D3C" w:rsidRDefault="00946D3C" w:rsidP="00946D3C">
      <w:pPr>
        <w:rPr>
          <w:lang w:val="en-CA"/>
        </w:rPr>
      </w:pPr>
      <w:r w:rsidRPr="00946D3C">
        <w:rPr>
          <w:lang w:val="en-CA"/>
        </w:rPr>
        <w:t xml:space="preserve">The Treynor-Black framework implicitly enforces valuation discipline through the alpha adjustment mechanism. The resulting weight distribution confirms that the portfolio is not a simple momentum </w:t>
      </w:r>
      <w:proofErr w:type="gramStart"/>
      <w:r w:rsidRPr="00946D3C">
        <w:rPr>
          <w:lang w:val="en-CA"/>
        </w:rPr>
        <w:t>strategy  -</w:t>
      </w:r>
      <w:proofErr w:type="gramEnd"/>
      <w:r w:rsidRPr="00946D3C">
        <w:rPr>
          <w:lang w:val="en-CA"/>
        </w:rPr>
        <w:t xml:space="preserve">  it tilts toward cheap stocks with genuine structural alpha:</w:t>
      </w:r>
    </w:p>
    <w:p w14:paraId="7D958AA8" w14:textId="3F167E33" w:rsidR="00946D3C" w:rsidRPr="00946D3C" w:rsidRDefault="00946D3C" w:rsidP="00946D3C">
      <w:pPr>
        <w:pStyle w:val="ListParagraph"/>
        <w:numPr>
          <w:ilvl w:val="0"/>
          <w:numId w:val="8"/>
        </w:numPr>
      </w:pPr>
      <w:r w:rsidRPr="00946D3C">
        <w:t>MLI (cheapest at 18.1x P/E): 2nd-largest active weight (21.1</w:t>
      </w:r>
      <w:proofErr w:type="gramStart"/>
      <w:r w:rsidRPr="00946D3C">
        <w:t>%)  -</w:t>
      </w:r>
      <w:proofErr w:type="gramEnd"/>
      <w:r w:rsidRPr="00946D3C">
        <w:t xml:space="preserve">  model rewards the cheapest, highest-alpha stock heavily, behind only SBGSY which leads due to the highest R² with ACWI (70%).</w:t>
      </w:r>
    </w:p>
    <w:p w14:paraId="6CF53D40" w14:textId="59F1ADD6" w:rsidR="00946D3C" w:rsidRPr="00946D3C" w:rsidRDefault="00946D3C" w:rsidP="00946D3C">
      <w:pPr>
        <w:pStyle w:val="ListParagraph"/>
        <w:numPr>
          <w:ilvl w:val="0"/>
          <w:numId w:val="8"/>
        </w:numPr>
      </w:pPr>
      <w:r w:rsidRPr="00946D3C">
        <w:t>PWR (most expensive at 54.5x P/E): Second-largest weight (23.1%) but raw alpha is haircut by 46% in adjustment. The remaining adjusted alpha is still high enough for a meaningful position.</w:t>
      </w:r>
    </w:p>
    <w:p w14:paraId="089123ED" w14:textId="77777777" w:rsidR="00946D3C" w:rsidRDefault="00946D3C" w:rsidP="00946D3C">
      <w:pPr>
        <w:pStyle w:val="ListParagraph"/>
        <w:numPr>
          <w:ilvl w:val="0"/>
          <w:numId w:val="8"/>
        </w:numPr>
      </w:pPr>
      <w:r w:rsidRPr="00946D3C">
        <w:lastRenderedPageBreak/>
        <w:t>AEE/WEC/HUBB (below market P/E 22-25x): Small to moderate weights (1.3%-16.3%). These stocks have modest adjusted alpha but provide essential portfolio stabilisation via low beta and low residual variance.</w:t>
      </w:r>
    </w:p>
    <w:p w14:paraId="65B2A92B" w14:textId="3DA89CB8" w:rsidR="00946D3C" w:rsidRPr="00946D3C" w:rsidRDefault="00946D3C" w:rsidP="00946D3C">
      <w:pPr>
        <w:pStyle w:val="ListParagraph"/>
        <w:numPr>
          <w:ilvl w:val="0"/>
          <w:numId w:val="8"/>
        </w:numPr>
      </w:pPr>
      <w:r w:rsidRPr="00946D3C">
        <w:t xml:space="preserve">ETN (37.2x P/E with structural underperformance): </w:t>
      </w:r>
      <w:proofErr w:type="gramStart"/>
      <w:r w:rsidRPr="00946D3C">
        <w:t>Short  -</w:t>
      </w:r>
      <w:proofErr w:type="gramEnd"/>
      <w:r w:rsidRPr="00946D3C">
        <w:t xml:space="preserve">  the combination of elevated valuation and negative structural alpha is a clear short signal.</w:t>
      </w:r>
    </w:p>
    <w:p w14:paraId="537C91F9" w14:textId="30B25DDF" w:rsidR="00B25185" w:rsidRDefault="00175B2B" w:rsidP="00B25185">
      <w:pPr>
        <w:pStyle w:val="Heading3"/>
      </w:pPr>
      <w:bookmarkStart w:id="46" w:name="_Toc227618182"/>
      <w:r>
        <w:rPr>
          <w:rFonts w:eastAsia="Arial"/>
        </w:rPr>
        <w:t>6.3 Bond</w:t>
      </w:r>
      <w:r w:rsidR="00B25185">
        <w:rPr>
          <w:rFonts w:eastAsia="Arial"/>
        </w:rPr>
        <w:t xml:space="preserve"> Valuation &amp; Duration Implications</w:t>
      </w:r>
      <w:bookmarkEnd w:id="46"/>
    </w:p>
    <w:p w14:paraId="6D52F411" w14:textId="77777777" w:rsidR="00946D3C" w:rsidRPr="00946D3C" w:rsidRDefault="00946D3C" w:rsidP="00946D3C">
      <w:pPr>
        <w:rPr>
          <w:lang w:val="en-CA"/>
        </w:rPr>
      </w:pPr>
      <w:r w:rsidRPr="00946D3C">
        <w:rPr>
          <w:lang w:val="en-CA"/>
        </w:rPr>
        <w:t>The TLT bond component (44.31% of total portfolio) is currently priced at a discount ($86.83 per $100 par), implying a 6.29% discount to par. With YTM of 4.95% and modified duration of 7.90, the bond sleeve has the following risk-return properties:</w:t>
      </w:r>
    </w:p>
    <w:p w14:paraId="226A1A34" w14:textId="77777777" w:rsidR="00946D3C" w:rsidRPr="00946D3C" w:rsidRDefault="00946D3C" w:rsidP="00946D3C">
      <w:pPr>
        <w:rPr>
          <w:lang w:val="en-CA"/>
        </w:rPr>
      </w:pPr>
      <w:r w:rsidRPr="00946D3C">
        <w:rPr>
          <w:lang w:val="en-CA"/>
        </w:rPr>
        <w:t xml:space="preserve">Annual income return: 4.50% coupon on $86.83 cost </w:t>
      </w:r>
      <w:proofErr w:type="gramStart"/>
      <w:r w:rsidRPr="00946D3C">
        <w:rPr>
          <w:lang w:val="en-CA"/>
        </w:rPr>
        <w:t>basis  4.79</w:t>
      </w:r>
      <w:proofErr w:type="gramEnd"/>
      <w:r w:rsidRPr="00946D3C">
        <w:rPr>
          <w:lang w:val="en-CA"/>
        </w:rPr>
        <w:t xml:space="preserve">% income </w:t>
      </w:r>
      <w:proofErr w:type="gramStart"/>
      <w:r w:rsidRPr="00946D3C">
        <w:rPr>
          <w:lang w:val="en-CA"/>
        </w:rPr>
        <w:t>yield  -</w:t>
      </w:r>
      <w:proofErr w:type="gramEnd"/>
      <w:r w:rsidRPr="00946D3C">
        <w:rPr>
          <w:lang w:val="en-CA"/>
        </w:rPr>
        <w:t xml:space="preserve">  exceeds the T-Bill rate by 109bps.</w:t>
      </w:r>
    </w:p>
    <w:p w14:paraId="5B7BF144" w14:textId="29658A51" w:rsidR="00946D3C" w:rsidRPr="00946D3C" w:rsidRDefault="00946D3C" w:rsidP="00946D3C">
      <w:pPr>
        <w:rPr>
          <w:lang w:val="en-CA"/>
        </w:rPr>
      </w:pPr>
      <w:r w:rsidRPr="00946D3C">
        <w:rPr>
          <w:lang w:val="en-CA"/>
        </w:rPr>
        <w:t xml:space="preserve">Capital appreciation potential: If </w:t>
      </w:r>
      <w:proofErr w:type="spellStart"/>
      <w:r w:rsidRPr="00946D3C">
        <w:rPr>
          <w:lang w:val="en-CA"/>
        </w:rPr>
        <w:t>Bo</w:t>
      </w:r>
      <w:r w:rsidR="00175B2B">
        <w:rPr>
          <w:lang w:val="en-CA"/>
        </w:rPr>
        <w:t>A</w:t>
      </w:r>
      <w:proofErr w:type="spellEnd"/>
      <w:r w:rsidRPr="00946D3C">
        <w:rPr>
          <w:lang w:val="en-CA"/>
        </w:rPr>
        <w:t xml:space="preserve"> cuts rates by 100bps (consistent with downside economic scenario), TLT price rises from $86.83 to ~$100.24 (+15.45%), generating a total return of approximately 12.70% on the bond sleeve for that scenario.</w:t>
      </w:r>
    </w:p>
    <w:p w14:paraId="48C8C173" w14:textId="6AEA4B86" w:rsidR="009B37EA" w:rsidRPr="007A27CE" w:rsidRDefault="00946D3C" w:rsidP="007A27CE">
      <w:pPr>
        <w:rPr>
          <w:lang w:val="en-CA"/>
        </w:rPr>
      </w:pPr>
      <w:r w:rsidRPr="00946D3C">
        <w:rPr>
          <w:lang w:val="en-CA"/>
        </w:rPr>
        <w:t xml:space="preserve">Duration-matched risk management: The 7.90-year modified duration is monitored against </w:t>
      </w:r>
      <w:proofErr w:type="spellStart"/>
      <w:r w:rsidRPr="00946D3C">
        <w:rPr>
          <w:lang w:val="en-CA"/>
        </w:rPr>
        <w:t>Bo</w:t>
      </w:r>
      <w:r w:rsidR="00175B2B">
        <w:rPr>
          <w:lang w:val="en-CA"/>
        </w:rPr>
        <w:t>A</w:t>
      </w:r>
      <w:proofErr w:type="spellEnd"/>
      <w:r w:rsidRPr="00946D3C">
        <w:rPr>
          <w:lang w:val="en-CA"/>
        </w:rPr>
        <w:t xml:space="preserve"> policy communications. Duration will be shortened (via T-Bill substitution) if </w:t>
      </w:r>
      <w:proofErr w:type="spellStart"/>
      <w:r w:rsidRPr="00946D3C">
        <w:rPr>
          <w:lang w:val="en-CA"/>
        </w:rPr>
        <w:t>Bo</w:t>
      </w:r>
      <w:r w:rsidR="00175B2B">
        <w:rPr>
          <w:lang w:val="en-CA"/>
        </w:rPr>
        <w:t>A</w:t>
      </w:r>
      <w:proofErr w:type="spellEnd"/>
      <w:r w:rsidRPr="00946D3C">
        <w:rPr>
          <w:lang w:val="en-CA"/>
        </w:rPr>
        <w:t xml:space="preserve"> signals rate </w:t>
      </w:r>
      <w:proofErr w:type="gramStart"/>
      <w:r w:rsidRPr="00946D3C">
        <w:rPr>
          <w:lang w:val="en-CA"/>
        </w:rPr>
        <w:t>hikes, and</w:t>
      </w:r>
      <w:proofErr w:type="gramEnd"/>
      <w:r w:rsidRPr="00946D3C">
        <w:rPr>
          <w:lang w:val="en-CA"/>
        </w:rPr>
        <w:t xml:space="preserve"> extended if cuts are anticipated.</w:t>
      </w:r>
      <w:bookmarkStart w:id="47" w:name="_Toc227618183"/>
    </w:p>
    <w:p w14:paraId="1A145E90" w14:textId="4E12F834" w:rsidR="00946D3C" w:rsidRDefault="00946D3C" w:rsidP="00946D3C">
      <w:pPr>
        <w:pStyle w:val="Heading1"/>
      </w:pPr>
      <w:r>
        <w:t xml:space="preserve">Section 7 – Performance Measurement &amp; Monitoring: Excel Model as </w:t>
      </w:r>
      <w:r w:rsidR="00175B2B">
        <w:t xml:space="preserve">a </w:t>
      </w:r>
      <w:r>
        <w:t>tool to meet Client’s Goals</w:t>
      </w:r>
      <w:bookmarkEnd w:id="47"/>
    </w:p>
    <w:p w14:paraId="2F2670C8" w14:textId="520190FE" w:rsidR="00946D3C" w:rsidRDefault="00946D3C" w:rsidP="00946D3C">
      <w:pPr>
        <w:pStyle w:val="Heading2"/>
      </w:pPr>
      <w:bookmarkStart w:id="48" w:name="_Toc227618184"/>
      <w:r w:rsidRPr="00946D3C">
        <w:t>This section explicitly documents how the ACWI_index_FV.xlsx portfolio model serves as the bridge between Minh Tri's stated goals and the daily execution of the investment strategy. Every key output from the model corresponds to a client-level objective or constraint.</w:t>
      </w:r>
      <w:bookmarkEnd w:id="48"/>
    </w:p>
    <w:p w14:paraId="0B62767D" w14:textId="460C0EFA" w:rsidR="00946D3C" w:rsidRDefault="00946D3C" w:rsidP="00946D3C">
      <w:pPr>
        <w:pStyle w:val="Heading3"/>
      </w:pPr>
      <w:bookmarkStart w:id="49" w:name="_Toc227618185"/>
      <w:r>
        <w:t>7.1 The Portfolio Construction Bridge</w:t>
      </w:r>
      <w:bookmarkEnd w:id="49"/>
    </w:p>
    <w:p w14:paraId="4DF75D99" w14:textId="38BD42D8" w:rsidR="00946D3C" w:rsidRDefault="00062122" w:rsidP="00946D3C">
      <w:pPr>
        <w:jc w:val="center"/>
        <w:rPr>
          <w:lang w:val="en-CA"/>
        </w:rPr>
      </w:pPr>
      <w:r>
        <w:rPr>
          <w:noProof/>
          <w14:ligatures w14:val="standardContextual"/>
        </w:rPr>
        <w:drawing>
          <wp:inline distT="0" distB="0" distL="0" distR="0" wp14:anchorId="4FBA38FA" wp14:editId="3628A6DD">
            <wp:extent cx="6449520" cy="3034880"/>
            <wp:effectExtent l="0" t="0" r="2540" b="635"/>
            <wp:docPr id="23" name="Image 1" descr="Picture">
              <a:extLst xmlns:a="http://schemas.openxmlformats.org/drawingml/2006/main">
                <a:ext uri="{FF2B5EF4-FFF2-40B4-BE49-F238E27FC236}">
                  <a16:creationId xmlns:a16="http://schemas.microsoft.com/office/drawing/2014/main" id="{00000000-0008-0000-0800-000017000000}"/>
                </a:ext>
              </a:extLst>
            </wp:docPr>
            <wp:cNvGraphicFramePr/>
            <a:graphic xmlns:a="http://schemas.openxmlformats.org/drawingml/2006/main">
              <a:graphicData uri="http://schemas.openxmlformats.org/drawingml/2006/picture">
                <pic:pic xmlns:pic="http://schemas.openxmlformats.org/drawingml/2006/picture">
                  <pic:nvPicPr>
                    <pic:cNvPr id="23" name="Image 1" descr="Picture">
                      <a:extLst>
                        <a:ext uri="{FF2B5EF4-FFF2-40B4-BE49-F238E27FC236}">
                          <a16:creationId xmlns:a16="http://schemas.microsoft.com/office/drawing/2014/main" id="{00000000-0008-0000-0800-000017000000}"/>
                        </a:ext>
                      </a:extLst>
                    </pic:cNvPr>
                    <pic:cNvPicPr/>
                  </pic:nvPicPr>
                  <pic:blipFill>
                    <a:blip r:embed="rId17"/>
                    <a:stretch/>
                  </pic:blipFill>
                  <pic:spPr>
                    <a:xfrm>
                      <a:off x="0" y="0"/>
                      <a:ext cx="6449520" cy="3034880"/>
                    </a:xfrm>
                    <a:prstGeom prst="rect">
                      <a:avLst/>
                    </a:prstGeom>
                    <a:ln w="0">
                      <a:noFill/>
                    </a:ln>
                  </pic:spPr>
                </pic:pic>
              </a:graphicData>
            </a:graphic>
          </wp:inline>
        </w:drawing>
      </w:r>
    </w:p>
    <w:p w14:paraId="54942F75" w14:textId="77777777" w:rsidR="00946D3C" w:rsidRPr="00946D3C" w:rsidRDefault="00946D3C" w:rsidP="00946D3C">
      <w:pPr>
        <w:spacing w:before="30" w:after="100"/>
        <w:jc w:val="center"/>
        <w:rPr>
          <w:lang w:val="en-CA"/>
        </w:rPr>
      </w:pPr>
      <w:r w:rsidRPr="00946D3C">
        <w:rPr>
          <w:rFonts w:ascii="Arial" w:eastAsia="Arial" w:hAnsi="Arial" w:cs="Arial"/>
          <w:color w:val="666666"/>
          <w:sz w:val="17"/>
          <w:lang w:val="en-CA"/>
        </w:rPr>
        <w:t xml:space="preserve">Figure </w:t>
      </w:r>
      <w:proofErr w:type="gramStart"/>
      <w:r w:rsidRPr="00946D3C">
        <w:rPr>
          <w:rFonts w:ascii="Arial" w:eastAsia="Arial" w:hAnsi="Arial" w:cs="Arial"/>
          <w:color w:val="666666"/>
          <w:sz w:val="17"/>
          <w:lang w:val="en-CA"/>
        </w:rPr>
        <w:t>7.1  -</w:t>
      </w:r>
      <w:proofErr w:type="gramEnd"/>
      <w:r w:rsidRPr="00946D3C">
        <w:rPr>
          <w:rFonts w:ascii="Arial" w:eastAsia="Arial" w:hAnsi="Arial" w:cs="Arial"/>
          <w:color w:val="666666"/>
          <w:sz w:val="17"/>
          <w:lang w:val="en-CA"/>
        </w:rPr>
        <w:t xml:space="preserve">  Portfolio Construction Bridge: Client Risk </w:t>
      </w:r>
      <w:proofErr w:type="gramStart"/>
      <w:r w:rsidRPr="00946D3C">
        <w:rPr>
          <w:rFonts w:ascii="Arial" w:eastAsia="Arial" w:hAnsi="Arial" w:cs="Arial"/>
          <w:color w:val="666666"/>
          <w:sz w:val="17"/>
          <w:lang w:val="en-CA"/>
        </w:rPr>
        <w:t>Profile  Excel</w:t>
      </w:r>
      <w:proofErr w:type="gramEnd"/>
      <w:r w:rsidRPr="00946D3C">
        <w:rPr>
          <w:rFonts w:ascii="Arial" w:eastAsia="Arial" w:hAnsi="Arial" w:cs="Arial"/>
          <w:color w:val="666666"/>
          <w:sz w:val="17"/>
          <w:lang w:val="en-CA"/>
        </w:rPr>
        <w:t xml:space="preserve"> </w:t>
      </w:r>
      <w:proofErr w:type="gramStart"/>
      <w:r w:rsidRPr="00946D3C">
        <w:rPr>
          <w:rFonts w:ascii="Arial" w:eastAsia="Arial" w:hAnsi="Arial" w:cs="Arial"/>
          <w:color w:val="666666"/>
          <w:sz w:val="17"/>
          <w:lang w:val="en-CA"/>
        </w:rPr>
        <w:t>Model  Executed</w:t>
      </w:r>
      <w:proofErr w:type="gramEnd"/>
      <w:r w:rsidRPr="00946D3C">
        <w:rPr>
          <w:rFonts w:ascii="Arial" w:eastAsia="Arial" w:hAnsi="Arial" w:cs="Arial"/>
          <w:color w:val="666666"/>
          <w:sz w:val="17"/>
          <w:lang w:val="en-CA"/>
        </w:rPr>
        <w:t xml:space="preserve"> Portfolio. The three-layer cascade ensures that every allocation decision traces back to Minh Tri's risk tolerance score of 59 and risk aversion A=9.0. Source: IPS team construction; ACWI_index_FV.xlsx.</w:t>
      </w:r>
    </w:p>
    <w:p w14:paraId="3F1FFB0B" w14:textId="77777777" w:rsidR="007A27CE" w:rsidRDefault="007A27CE" w:rsidP="00946D3C">
      <w:pPr>
        <w:rPr>
          <w:lang w:val="en-CA"/>
        </w:rPr>
      </w:pPr>
    </w:p>
    <w:p w14:paraId="57B6D02F" w14:textId="39605169" w:rsidR="00946D3C" w:rsidRDefault="00946D3C" w:rsidP="00946D3C">
      <w:pPr>
        <w:rPr>
          <w:lang w:val="en-CA"/>
        </w:rPr>
      </w:pPr>
      <w:r w:rsidRPr="00946D3C">
        <w:rPr>
          <w:lang w:val="en-CA"/>
        </w:rPr>
        <w:lastRenderedPageBreak/>
        <w:t>The ACWI_index_FV.xlsx model operationalises the IPS through a three-stage sequential framework, each stage translating abstract client preferences into concrete portfolio decisions:</w:t>
      </w:r>
    </w:p>
    <w:p w14:paraId="06B5F2EC" w14:textId="77777777" w:rsidR="00946D3C" w:rsidRDefault="00946D3C" w:rsidP="00946D3C">
      <w:pPr>
        <w:rPr>
          <w:lang w:val="en-CA"/>
        </w:rPr>
      </w:pPr>
    </w:p>
    <w:p w14:paraId="0658A615" w14:textId="27137200" w:rsidR="00013B8D" w:rsidRPr="00013B8D" w:rsidRDefault="00013B8D" w:rsidP="00013B8D">
      <w:pPr>
        <w:rPr>
          <w:b/>
          <w:bCs/>
          <w:lang w:val="en-CA"/>
        </w:rPr>
      </w:pPr>
      <w:r w:rsidRPr="00013B8D">
        <w:rPr>
          <w:b/>
          <w:bCs/>
          <w:lang w:val="en-CA"/>
        </w:rPr>
        <w:t xml:space="preserve">Stage </w:t>
      </w:r>
      <w:r w:rsidR="00175B2B" w:rsidRPr="00013B8D">
        <w:rPr>
          <w:b/>
          <w:bCs/>
          <w:lang w:val="en-CA"/>
        </w:rPr>
        <w:t xml:space="preserve">1 </w:t>
      </w:r>
      <w:proofErr w:type="gramStart"/>
      <w:r w:rsidR="00175B2B" w:rsidRPr="00013B8D">
        <w:rPr>
          <w:b/>
          <w:bCs/>
          <w:lang w:val="en-CA"/>
        </w:rPr>
        <w:t>-</w:t>
      </w:r>
      <w:r w:rsidRPr="00013B8D">
        <w:rPr>
          <w:b/>
          <w:bCs/>
          <w:lang w:val="en-CA"/>
        </w:rPr>
        <w:t xml:space="preserve">  Capital</w:t>
      </w:r>
      <w:proofErr w:type="gramEnd"/>
      <w:r w:rsidRPr="00013B8D">
        <w:rPr>
          <w:b/>
          <w:bCs/>
          <w:lang w:val="en-CA"/>
        </w:rPr>
        <w:t xml:space="preserve"> Allocation (Client </w:t>
      </w:r>
      <w:r w:rsidR="00175B2B" w:rsidRPr="00013B8D">
        <w:rPr>
          <w:b/>
          <w:bCs/>
          <w:lang w:val="en-CA"/>
        </w:rPr>
        <w:t>Goals Model</w:t>
      </w:r>
      <w:r w:rsidRPr="00013B8D">
        <w:rPr>
          <w:b/>
          <w:bCs/>
          <w:lang w:val="en-CA"/>
        </w:rPr>
        <w:t xml:space="preserve"> Input)</w:t>
      </w:r>
    </w:p>
    <w:p w14:paraId="11E8192C" w14:textId="40A98F8E" w:rsidR="00013B8D" w:rsidRPr="00013B8D" w:rsidRDefault="00013B8D" w:rsidP="00013B8D">
      <w:pPr>
        <w:rPr>
          <w:lang w:val="en-CA"/>
        </w:rPr>
      </w:pPr>
      <w:r w:rsidRPr="00013B8D">
        <w:rPr>
          <w:lang w:val="en-CA"/>
        </w:rPr>
        <w:t>The risk tolerance score of 59 is the model's primary client input. It determines the Risk Aversion Index A = 9.20, which feeds directly into the utility function U = E(</w:t>
      </w:r>
      <w:proofErr w:type="spellStart"/>
      <w:r w:rsidRPr="00013B8D">
        <w:rPr>
          <w:lang w:val="en-CA"/>
        </w:rPr>
        <w:t>Rc</w:t>
      </w:r>
      <w:proofErr w:type="spellEnd"/>
      <w:r w:rsidRPr="00013B8D">
        <w:rPr>
          <w:lang w:val="en-CA"/>
        </w:rPr>
        <w:t>) - Asd2c. The Capital Allocation sheet solves for y* = 0.5569 as the allocation that maximises this utility. This is not a discretionary judgment call</w:t>
      </w:r>
      <w:r w:rsidR="00175B2B">
        <w:rPr>
          <w:lang w:val="en-CA"/>
        </w:rPr>
        <w:t xml:space="preserve">, </w:t>
      </w:r>
      <w:r w:rsidRPr="00013B8D">
        <w:rPr>
          <w:lang w:val="en-CA"/>
        </w:rPr>
        <w:t>it is the mathematically optimal allocation for this specific client, calibrated to their stated risk preferences. The 44.31% T-Bill allocation is not arbitrary conservatism; it is the precise amount of capital protection required to satisfy A = 9.20.</w:t>
      </w:r>
    </w:p>
    <w:p w14:paraId="101A608A" w14:textId="77777777" w:rsidR="00013B8D" w:rsidRPr="00013B8D" w:rsidRDefault="00013B8D" w:rsidP="00013B8D">
      <w:pPr>
        <w:rPr>
          <w:lang w:val="en-CA"/>
        </w:rPr>
      </w:pPr>
    </w:p>
    <w:p w14:paraId="5EF64068" w14:textId="437CB3B8" w:rsidR="00013B8D" w:rsidRPr="00013B8D" w:rsidRDefault="00013B8D" w:rsidP="00013B8D">
      <w:pPr>
        <w:rPr>
          <w:b/>
          <w:bCs/>
          <w:lang w:val="en-CA"/>
        </w:rPr>
      </w:pPr>
      <w:r w:rsidRPr="00013B8D">
        <w:rPr>
          <w:b/>
          <w:bCs/>
          <w:lang w:val="en-CA"/>
        </w:rPr>
        <w:t xml:space="preserve">Stage </w:t>
      </w:r>
      <w:r w:rsidR="00175B2B" w:rsidRPr="00013B8D">
        <w:rPr>
          <w:b/>
          <w:bCs/>
          <w:lang w:val="en-CA"/>
        </w:rPr>
        <w:t xml:space="preserve">2 </w:t>
      </w:r>
      <w:proofErr w:type="gramStart"/>
      <w:r w:rsidR="00175B2B" w:rsidRPr="00013B8D">
        <w:rPr>
          <w:b/>
          <w:bCs/>
          <w:lang w:val="en-CA"/>
        </w:rPr>
        <w:t>-</w:t>
      </w:r>
      <w:r w:rsidRPr="00013B8D">
        <w:rPr>
          <w:b/>
          <w:bCs/>
          <w:lang w:val="en-CA"/>
        </w:rPr>
        <w:t xml:space="preserve">  Security</w:t>
      </w:r>
      <w:proofErr w:type="gramEnd"/>
      <w:r w:rsidRPr="00013B8D">
        <w:rPr>
          <w:b/>
          <w:bCs/>
          <w:lang w:val="en-CA"/>
        </w:rPr>
        <w:t xml:space="preserve"> Selection (Model </w:t>
      </w:r>
      <w:r w:rsidR="00175B2B" w:rsidRPr="00013B8D">
        <w:rPr>
          <w:b/>
          <w:bCs/>
          <w:lang w:val="en-CA"/>
        </w:rPr>
        <w:t>Processing Active</w:t>
      </w:r>
      <w:r w:rsidRPr="00013B8D">
        <w:rPr>
          <w:b/>
          <w:bCs/>
          <w:lang w:val="en-CA"/>
        </w:rPr>
        <w:t xml:space="preserve"> Weights)</w:t>
      </w:r>
    </w:p>
    <w:p w14:paraId="2811D16A" w14:textId="77777777" w:rsidR="00013B8D" w:rsidRPr="00013B8D" w:rsidRDefault="00013B8D" w:rsidP="00013B8D">
      <w:pPr>
        <w:rPr>
          <w:lang w:val="en-CA"/>
        </w:rPr>
      </w:pPr>
      <w:r w:rsidRPr="00013B8D">
        <w:rPr>
          <w:lang w:val="en-CA"/>
        </w:rPr>
        <w:t>Within the 55.69% equity sleeve, the Treynor-Black model (Panels E, F, G of the Security Allocation sheet) processes the alpha forecasts to generate optimal active weights. The model explicitly accounts for Minh Tri's conservative profile in two ways: (1) the beta of the active portfolio (1.274) is below the market, meaning the equity sleeve itself is designed to be less volatile than the broad market; (2) the residual variance minimisation in the active weight formula (w = Alpha/sd2(e)) penalises stocks with high firm-specific risk  -  again serving the conservative mandate.</w:t>
      </w:r>
    </w:p>
    <w:p w14:paraId="4E9B9E1B" w14:textId="77777777" w:rsidR="00013B8D" w:rsidRPr="00013B8D" w:rsidRDefault="00013B8D" w:rsidP="00013B8D">
      <w:pPr>
        <w:rPr>
          <w:lang w:val="en-CA"/>
        </w:rPr>
      </w:pPr>
    </w:p>
    <w:p w14:paraId="430D6067" w14:textId="147A8067" w:rsidR="00013B8D" w:rsidRPr="00013B8D" w:rsidRDefault="00013B8D" w:rsidP="00013B8D">
      <w:pPr>
        <w:rPr>
          <w:b/>
          <w:bCs/>
          <w:lang w:val="en-CA"/>
        </w:rPr>
      </w:pPr>
      <w:r w:rsidRPr="00013B8D">
        <w:rPr>
          <w:b/>
          <w:bCs/>
          <w:lang w:val="en-CA"/>
        </w:rPr>
        <w:t xml:space="preserve">Stage </w:t>
      </w:r>
      <w:r w:rsidR="00175B2B" w:rsidRPr="00013B8D">
        <w:rPr>
          <w:b/>
          <w:bCs/>
          <w:lang w:val="en-CA"/>
        </w:rPr>
        <w:t xml:space="preserve">3 </w:t>
      </w:r>
      <w:proofErr w:type="gramStart"/>
      <w:r w:rsidR="00175B2B" w:rsidRPr="00013B8D">
        <w:rPr>
          <w:b/>
          <w:bCs/>
          <w:lang w:val="en-CA"/>
        </w:rPr>
        <w:t>-</w:t>
      </w:r>
      <w:r w:rsidRPr="00013B8D">
        <w:rPr>
          <w:b/>
          <w:bCs/>
          <w:lang w:val="en-CA"/>
        </w:rPr>
        <w:t xml:space="preserve">  Portfolio</w:t>
      </w:r>
      <w:proofErr w:type="gramEnd"/>
      <w:r w:rsidRPr="00013B8D">
        <w:rPr>
          <w:b/>
          <w:bCs/>
          <w:lang w:val="en-CA"/>
        </w:rPr>
        <w:t xml:space="preserve"> Execution (Model </w:t>
      </w:r>
      <w:r w:rsidR="00175B2B" w:rsidRPr="00013B8D">
        <w:rPr>
          <w:b/>
          <w:bCs/>
          <w:lang w:val="en-CA"/>
        </w:rPr>
        <w:t>Output Implemented</w:t>
      </w:r>
      <w:r w:rsidRPr="00013B8D">
        <w:rPr>
          <w:b/>
          <w:bCs/>
          <w:lang w:val="en-CA"/>
        </w:rPr>
        <w:t xml:space="preserve"> Portfolio)</w:t>
      </w:r>
    </w:p>
    <w:p w14:paraId="1BB34AC5" w14:textId="5311768D" w:rsidR="00013B8D" w:rsidRDefault="00013B8D" w:rsidP="00013B8D">
      <w:pPr>
        <w:rPr>
          <w:lang w:val="en-CA"/>
        </w:rPr>
      </w:pPr>
      <w:r w:rsidRPr="00013B8D">
        <w:rPr>
          <w:lang w:val="en-CA"/>
        </w:rPr>
        <w:t xml:space="preserve">The model outputs (y*, active weights from Panel G, performance metrics from Panel G) translate directly into the investable portfolio. The equity sleeve is implemented as: SBGSY 23.4%, MLI 21.1%, NVT 17.7%, ETN 14.6%, HUBB 10.5%, HUBB 7.3%, AEP 1.9%; the capital allocation sleeve as 44.31% TLT/T-Bill. Every quarterly rebalancing cycle refreshes the Panel E alpha forecasts and </w:t>
      </w:r>
      <w:r w:rsidRPr="00013B8D">
        <w:rPr>
          <w:lang w:val="en-CA"/>
        </w:rPr>
        <w:t>reoptimizes</w:t>
      </w:r>
      <w:r w:rsidRPr="00013B8D">
        <w:rPr>
          <w:lang w:val="en-CA"/>
        </w:rPr>
        <w:t xml:space="preserve"> the Panel F/G weights, ensuring the portfolio continuously reflects the most current risk-return assessments.</w:t>
      </w:r>
    </w:p>
    <w:p w14:paraId="1555B7BA" w14:textId="4C080DC8" w:rsidR="00013B8D" w:rsidRDefault="00013B8D" w:rsidP="00013B8D">
      <w:pPr>
        <w:pStyle w:val="Heading3"/>
      </w:pPr>
      <w:bookmarkStart w:id="50" w:name="_Toc227618186"/>
      <w:r>
        <w:t>7.2 KPI Monitoring Dashboard</w:t>
      </w:r>
      <w:bookmarkEnd w:id="50"/>
    </w:p>
    <w:p w14:paraId="3EDAE7A8" w14:textId="77777777" w:rsidR="00013B8D" w:rsidRPr="00013B8D" w:rsidRDefault="00013B8D" w:rsidP="00013B8D">
      <w:pPr>
        <w:rPr>
          <w:lang w:val="en-CA"/>
        </w:rPr>
      </w:pPr>
      <w:r w:rsidRPr="00013B8D">
        <w:rPr>
          <w:lang w:val="en-CA"/>
        </w:rPr>
        <w:t>The following monitoring framework translates the model's key outputs into client-level KPIs, providing a systematic protocol for measuring whether the portfolio is delivering on Minh Tri's investment objectives.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1560"/>
        <w:gridCol w:w="3200"/>
      </w:tblGrid>
      <w:tr w:rsidR="00013B8D" w14:paraId="3AB256A6"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6EF5F4B7" w14:textId="77777777" w:rsidR="00013B8D" w:rsidRDefault="00013B8D" w:rsidP="00155891">
            <w:pPr>
              <w:jc w:val="center"/>
            </w:pPr>
            <w:r>
              <w:rPr>
                <w:rFonts w:ascii="Arial" w:eastAsia="Arial" w:hAnsi="Arial" w:cs="Arial"/>
                <w:b/>
                <w:color w:val="FFFFFF"/>
                <w:sz w:val="18"/>
              </w:rPr>
              <w:t xml:space="preserve">KPI / </w:t>
            </w:r>
            <w:proofErr w:type="spellStart"/>
            <w:r>
              <w:rPr>
                <w:rFonts w:ascii="Arial" w:eastAsia="Arial" w:hAnsi="Arial" w:cs="Arial"/>
                <w:b/>
                <w:color w:val="FFFFFF"/>
                <w:sz w:val="18"/>
              </w:rPr>
              <w:t>Metric</w:t>
            </w:r>
            <w:proofErr w:type="spellEnd"/>
          </w:p>
        </w:tc>
        <w:tc>
          <w:tcPr>
            <w:tcW w:w="220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6CBA04C4" w14:textId="77777777" w:rsidR="00013B8D" w:rsidRDefault="00013B8D" w:rsidP="00155891">
            <w:pPr>
              <w:jc w:val="center"/>
            </w:pPr>
            <w:r>
              <w:rPr>
                <w:rFonts w:ascii="Arial" w:eastAsia="Arial" w:hAnsi="Arial" w:cs="Arial"/>
                <w:b/>
                <w:color w:val="FFFFFF"/>
                <w:sz w:val="18"/>
              </w:rPr>
              <w:t xml:space="preserve">Target / </w:t>
            </w:r>
            <w:proofErr w:type="spellStart"/>
            <w:r>
              <w:rPr>
                <w:rFonts w:ascii="Arial" w:eastAsia="Arial" w:hAnsi="Arial" w:cs="Arial"/>
                <w:b/>
                <w:color w:val="FFFFFF"/>
                <w:sz w:val="18"/>
              </w:rPr>
              <w:t>Threshold</w:t>
            </w:r>
            <w:proofErr w:type="spellEnd"/>
          </w:p>
        </w:tc>
        <w:tc>
          <w:tcPr>
            <w:tcW w:w="156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3755CFCF" w14:textId="77777777" w:rsidR="00013B8D" w:rsidRDefault="00013B8D" w:rsidP="00155891">
            <w:pPr>
              <w:jc w:val="center"/>
            </w:pPr>
            <w:r>
              <w:rPr>
                <w:rFonts w:ascii="Arial" w:eastAsia="Arial" w:hAnsi="Arial" w:cs="Arial"/>
                <w:b/>
                <w:color w:val="FFFFFF"/>
                <w:sz w:val="18"/>
              </w:rPr>
              <w:t>Frequency</w:t>
            </w:r>
          </w:p>
        </w:tc>
        <w:tc>
          <w:tcPr>
            <w:tcW w:w="320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721214BC" w14:textId="77777777" w:rsidR="00013B8D" w:rsidRDefault="00013B8D" w:rsidP="00155891">
            <w:pPr>
              <w:jc w:val="center"/>
            </w:pPr>
            <w:r>
              <w:rPr>
                <w:rFonts w:ascii="Arial" w:eastAsia="Arial" w:hAnsi="Arial" w:cs="Arial"/>
                <w:b/>
                <w:color w:val="FFFFFF"/>
                <w:sz w:val="18"/>
              </w:rPr>
              <w:t>Trigger Action</w:t>
            </w:r>
          </w:p>
        </w:tc>
      </w:tr>
      <w:tr w:rsidR="00013B8D" w:rsidRPr="00013B8D" w14:paraId="245ED0A8"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66B2FCCA" w14:textId="77777777" w:rsidR="00013B8D" w:rsidRDefault="00013B8D" w:rsidP="00155891">
            <w:r>
              <w:rPr>
                <w:rFonts w:ascii="Arial" w:eastAsia="Arial" w:hAnsi="Arial" w:cs="Arial"/>
                <w:b/>
                <w:color w:val="2C2C2C"/>
                <w:sz w:val="19"/>
              </w:rPr>
              <w:t>Portfolio Return E(</w:t>
            </w:r>
            <w:proofErr w:type="spellStart"/>
            <w:r>
              <w:rPr>
                <w:rFonts w:ascii="Arial" w:eastAsia="Arial" w:hAnsi="Arial" w:cs="Arial"/>
                <w:b/>
                <w:color w:val="2C2C2C"/>
                <w:sz w:val="19"/>
              </w:rPr>
              <w:t>Rc</w:t>
            </w:r>
            <w:proofErr w:type="spellEnd"/>
            <w:r>
              <w:rPr>
                <w:rFonts w:ascii="Arial" w:eastAsia="Arial" w:hAnsi="Arial" w:cs="Arial"/>
                <w:b/>
                <w:color w:val="2C2C2C"/>
                <w:sz w:val="19"/>
              </w:rPr>
              <w:t>)</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7B98AD17" w14:textId="77777777" w:rsidR="00013B8D" w:rsidRDefault="00013B8D" w:rsidP="00155891">
            <w:r>
              <w:rPr>
                <w:rFonts w:ascii="Arial" w:eastAsia="Arial" w:hAnsi="Arial" w:cs="Arial"/>
                <w:color w:val="2C2C2C"/>
                <w:sz w:val="19"/>
              </w:rPr>
              <w:t xml:space="preserve">&gt;= 18.61% </w:t>
            </w:r>
            <w:proofErr w:type="spellStart"/>
            <w:r>
              <w:rPr>
                <w:rFonts w:ascii="Arial" w:eastAsia="Arial" w:hAnsi="Arial" w:cs="Arial"/>
                <w:color w:val="2C2C2C"/>
                <w:sz w:val="19"/>
              </w:rPr>
              <w:t>annualised</w:t>
            </w:r>
            <w:proofErr w:type="spellEnd"/>
            <w:r>
              <w:rPr>
                <w:rFonts w:ascii="Arial" w:eastAsia="Arial" w:hAnsi="Arial" w:cs="Arial"/>
                <w:color w:val="2C2C2C"/>
                <w:sz w:val="19"/>
              </w:rPr>
              <w:t xml:space="preserve"> (3yr </w:t>
            </w:r>
            <w:proofErr w:type="spellStart"/>
            <w:r>
              <w:rPr>
                <w:rFonts w:ascii="Arial" w:eastAsia="Arial" w:hAnsi="Arial" w:cs="Arial"/>
                <w:color w:val="2C2C2C"/>
                <w:sz w:val="19"/>
              </w:rPr>
              <w:t>rolling</w:t>
            </w:r>
            <w:proofErr w:type="spellEnd"/>
            <w:r>
              <w:rPr>
                <w:rFonts w:ascii="Arial" w:eastAsia="Arial" w:hAnsi="Arial" w:cs="Arial"/>
                <w:color w:val="2C2C2C"/>
                <w:sz w:val="19"/>
              </w:rPr>
              <w:t>)</w:t>
            </w:r>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2B355826" w14:textId="77777777" w:rsidR="00013B8D" w:rsidRDefault="00013B8D" w:rsidP="00155891">
            <w:proofErr w:type="spellStart"/>
            <w:r>
              <w:rPr>
                <w:rFonts w:ascii="Arial" w:eastAsia="Arial" w:hAnsi="Arial" w:cs="Arial"/>
                <w:color w:val="2C2C2C"/>
                <w:sz w:val="19"/>
              </w:rPr>
              <w:t>Quarterly</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388368F8" w14:textId="77777777" w:rsidR="00013B8D" w:rsidRPr="00013B8D" w:rsidRDefault="00013B8D" w:rsidP="00155891">
            <w:pPr>
              <w:rPr>
                <w:lang w:val="en-CA"/>
              </w:rPr>
            </w:pPr>
            <w:r w:rsidRPr="00013B8D">
              <w:rPr>
                <w:rFonts w:ascii="Arial" w:eastAsia="Arial" w:hAnsi="Arial" w:cs="Arial"/>
                <w:color w:val="2C2C2C"/>
                <w:sz w:val="17"/>
                <w:lang w:val="en-CA"/>
              </w:rPr>
              <w:t>Review if below target by &gt;200bps for 2 consecutive quarters</w:t>
            </w:r>
          </w:p>
        </w:tc>
      </w:tr>
      <w:tr w:rsidR="00013B8D" w:rsidRPr="00013B8D" w14:paraId="437EBC5F"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64777959" w14:textId="77777777" w:rsidR="00013B8D" w:rsidRDefault="00013B8D" w:rsidP="00155891">
            <w:r>
              <w:rPr>
                <w:rFonts w:ascii="Arial" w:eastAsia="Arial" w:hAnsi="Arial" w:cs="Arial"/>
                <w:b/>
                <w:color w:val="2C2C2C"/>
                <w:sz w:val="19"/>
              </w:rPr>
              <w:t>Complete Pf Sharpe Ratio</w:t>
            </w:r>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56772DA3" w14:textId="77777777" w:rsidR="00013B8D" w:rsidRDefault="00013B8D" w:rsidP="00155891">
            <w:r>
              <w:rPr>
                <w:rFonts w:ascii="Arial" w:eastAsia="Arial" w:hAnsi="Arial" w:cs="Arial"/>
                <w:color w:val="2C2C2C"/>
                <w:sz w:val="19"/>
              </w:rPr>
              <w:t>&gt;= 0.80 (</w:t>
            </w:r>
            <w:proofErr w:type="spellStart"/>
            <w:r>
              <w:rPr>
                <w:rFonts w:ascii="Arial" w:eastAsia="Arial" w:hAnsi="Arial" w:cs="Arial"/>
                <w:color w:val="2C2C2C"/>
                <w:sz w:val="19"/>
              </w:rPr>
              <w:t>rolling</w:t>
            </w:r>
            <w:proofErr w:type="spellEnd"/>
            <w:r>
              <w:rPr>
                <w:rFonts w:ascii="Arial" w:eastAsia="Arial" w:hAnsi="Arial" w:cs="Arial"/>
                <w:color w:val="2C2C2C"/>
                <w:sz w:val="19"/>
              </w:rPr>
              <w:t xml:space="preserve"> 12-month)</w:t>
            </w:r>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351EAC0B" w14:textId="77777777" w:rsidR="00013B8D" w:rsidRDefault="00013B8D" w:rsidP="00155891">
            <w:proofErr w:type="spellStart"/>
            <w:r>
              <w:rPr>
                <w:rFonts w:ascii="Arial" w:eastAsia="Arial" w:hAnsi="Arial" w:cs="Arial"/>
                <w:color w:val="2C2C2C"/>
                <w:sz w:val="19"/>
              </w:rPr>
              <w:t>Quarterly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74BAF610" w14:textId="77777777" w:rsidR="00013B8D" w:rsidRPr="00013B8D" w:rsidRDefault="00013B8D" w:rsidP="00155891">
            <w:pPr>
              <w:rPr>
                <w:lang w:val="en-CA"/>
              </w:rPr>
            </w:pPr>
            <w:r w:rsidRPr="00013B8D">
              <w:rPr>
                <w:rFonts w:ascii="Arial" w:eastAsia="Arial" w:hAnsi="Arial" w:cs="Arial"/>
                <w:color w:val="2C2C2C"/>
                <w:sz w:val="17"/>
                <w:lang w:val="en-CA"/>
              </w:rPr>
              <w:t>Reassess active weights if Sharpe &lt; 0.70 for one quarter</w:t>
            </w:r>
          </w:p>
        </w:tc>
      </w:tr>
      <w:tr w:rsidR="00013B8D" w:rsidRPr="00013B8D" w14:paraId="5E448B9E"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700D6C63" w14:textId="77777777" w:rsidR="00013B8D" w:rsidRDefault="00013B8D" w:rsidP="00155891">
            <w:proofErr w:type="spellStart"/>
            <w:r>
              <w:rPr>
                <w:rFonts w:ascii="Arial" w:eastAsia="Arial" w:hAnsi="Arial" w:cs="Arial"/>
                <w:b/>
                <w:color w:val="2C2C2C"/>
                <w:sz w:val="19"/>
              </w:rPr>
              <w:t>Jensen's</w:t>
            </w:r>
            <w:proofErr w:type="spellEnd"/>
            <w:r>
              <w:rPr>
                <w:rFonts w:ascii="Arial" w:eastAsia="Arial" w:hAnsi="Arial" w:cs="Arial"/>
                <w:b/>
                <w:color w:val="2C2C2C"/>
                <w:sz w:val="19"/>
              </w:rPr>
              <w:t xml:space="preserve"> Alpha (Active Pf)</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4E041709" w14:textId="77777777" w:rsidR="00013B8D" w:rsidRDefault="00013B8D" w:rsidP="00155891">
            <w:r>
              <w:rPr>
                <w:rFonts w:ascii="Arial" w:eastAsia="Arial" w:hAnsi="Arial" w:cs="Arial"/>
                <w:color w:val="2C2C2C"/>
                <w:sz w:val="19"/>
              </w:rPr>
              <w:t xml:space="preserve">&gt; 0% (3yr </w:t>
            </w:r>
            <w:proofErr w:type="spellStart"/>
            <w:r>
              <w:rPr>
                <w:rFonts w:ascii="Arial" w:eastAsia="Arial" w:hAnsi="Arial" w:cs="Arial"/>
                <w:color w:val="2C2C2C"/>
                <w:sz w:val="19"/>
              </w:rPr>
              <w:t>rolling</w:t>
            </w:r>
            <w:proofErr w:type="spellEnd"/>
            <w:r>
              <w:rPr>
                <w:rFonts w:ascii="Arial" w:eastAsia="Arial" w:hAnsi="Arial" w:cs="Arial"/>
                <w:color w:val="2C2C2C"/>
                <w:sz w:val="19"/>
              </w:rPr>
              <w:t>)</w:t>
            </w:r>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0DF4A4E4" w14:textId="77777777" w:rsidR="00013B8D" w:rsidRDefault="00013B8D" w:rsidP="00155891">
            <w:proofErr w:type="spellStart"/>
            <w:r>
              <w:rPr>
                <w:rFonts w:ascii="Arial" w:eastAsia="Arial" w:hAnsi="Arial" w:cs="Arial"/>
                <w:color w:val="2C2C2C"/>
                <w:sz w:val="19"/>
              </w:rPr>
              <w:t>Quarterly</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7D667286" w14:textId="77777777" w:rsidR="00013B8D" w:rsidRPr="00013B8D" w:rsidRDefault="00013B8D" w:rsidP="00155891">
            <w:pPr>
              <w:rPr>
                <w:lang w:val="en-CA"/>
              </w:rPr>
            </w:pPr>
            <w:r w:rsidRPr="00013B8D">
              <w:rPr>
                <w:rFonts w:ascii="Arial" w:eastAsia="Arial" w:hAnsi="Arial" w:cs="Arial"/>
                <w:color w:val="2C2C2C"/>
                <w:sz w:val="17"/>
                <w:lang w:val="en-CA"/>
              </w:rPr>
              <w:t>Reduce active weight if Alpha turns negative for 2 consecutive quarters</w:t>
            </w:r>
          </w:p>
        </w:tc>
      </w:tr>
      <w:tr w:rsidR="00013B8D" w:rsidRPr="00013B8D" w14:paraId="2A18A9B2"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6AD1FDE" w14:textId="77777777" w:rsidR="00013B8D" w:rsidRDefault="00013B8D" w:rsidP="00155891">
            <w:r>
              <w:rPr>
                <w:rFonts w:ascii="Arial" w:eastAsia="Arial" w:hAnsi="Arial" w:cs="Arial"/>
                <w:b/>
                <w:color w:val="2C2C2C"/>
                <w:sz w:val="19"/>
              </w:rPr>
              <w:t>Information Ratio</w:t>
            </w:r>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3AAC379A" w14:textId="77777777" w:rsidR="00013B8D" w:rsidRDefault="00013B8D" w:rsidP="00155891">
            <w:r>
              <w:rPr>
                <w:rFonts w:ascii="Arial" w:eastAsia="Arial" w:hAnsi="Arial" w:cs="Arial"/>
                <w:color w:val="2C2C2C"/>
                <w:sz w:val="19"/>
              </w:rPr>
              <w:t>&gt;= 0.30</w:t>
            </w:r>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7BDDF25F" w14:textId="77777777" w:rsidR="00013B8D" w:rsidRDefault="00013B8D" w:rsidP="00155891">
            <w:proofErr w:type="spellStart"/>
            <w:r>
              <w:rPr>
                <w:rFonts w:ascii="Arial" w:eastAsia="Arial" w:hAnsi="Arial" w:cs="Arial"/>
                <w:color w:val="2C2C2C"/>
                <w:sz w:val="19"/>
              </w:rPr>
              <w:t>Quarterly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CA82824" w14:textId="77777777" w:rsidR="00013B8D" w:rsidRPr="00013B8D" w:rsidRDefault="00013B8D" w:rsidP="00155891">
            <w:pPr>
              <w:rPr>
                <w:lang w:val="en-CA"/>
              </w:rPr>
            </w:pPr>
            <w:r w:rsidRPr="00013B8D">
              <w:rPr>
                <w:rFonts w:ascii="Arial" w:eastAsia="Arial" w:hAnsi="Arial" w:cs="Arial"/>
                <w:color w:val="2C2C2C"/>
                <w:sz w:val="17"/>
                <w:lang w:val="en-CA"/>
              </w:rPr>
              <w:t>Review stock selection model if IR &lt; 0.20</w:t>
            </w:r>
          </w:p>
        </w:tc>
      </w:tr>
      <w:tr w:rsidR="00013B8D" w:rsidRPr="00013B8D" w14:paraId="1B50C321"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0F32E97C" w14:textId="77777777" w:rsidR="00013B8D" w:rsidRDefault="00013B8D" w:rsidP="00155891">
            <w:r>
              <w:rPr>
                <w:rFonts w:ascii="Arial" w:eastAsia="Arial" w:hAnsi="Arial" w:cs="Arial"/>
                <w:b/>
                <w:color w:val="2C2C2C"/>
                <w:sz w:val="19"/>
              </w:rPr>
              <w:t>Portfolio Beta</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2F33E907" w14:textId="77777777" w:rsidR="00013B8D" w:rsidRDefault="00013B8D" w:rsidP="00155891">
            <w:r>
              <w:rPr>
                <w:rFonts w:ascii="Arial" w:eastAsia="Arial" w:hAnsi="Arial" w:cs="Arial"/>
                <w:color w:val="2C2C2C"/>
                <w:sz w:val="19"/>
              </w:rPr>
              <w:t>0.75 - 1.00 (</w:t>
            </w:r>
            <w:proofErr w:type="spellStart"/>
            <w:r>
              <w:rPr>
                <w:rFonts w:ascii="Arial" w:eastAsia="Arial" w:hAnsi="Arial" w:cs="Arial"/>
                <w:color w:val="2C2C2C"/>
                <w:sz w:val="19"/>
              </w:rPr>
              <w:t>target</w:t>
            </w:r>
            <w:proofErr w:type="spellEnd"/>
            <w:r>
              <w:rPr>
                <w:rFonts w:ascii="Arial" w:eastAsia="Arial" w:hAnsi="Arial" w:cs="Arial"/>
                <w:color w:val="2C2C2C"/>
                <w:sz w:val="19"/>
              </w:rPr>
              <w:t xml:space="preserve"> 1.274)</w:t>
            </w:r>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757F871C" w14:textId="77777777" w:rsidR="00013B8D" w:rsidRDefault="00013B8D" w:rsidP="00155891">
            <w:proofErr w:type="spellStart"/>
            <w:r>
              <w:rPr>
                <w:rFonts w:ascii="Arial" w:eastAsia="Arial" w:hAnsi="Arial" w:cs="Arial"/>
                <w:color w:val="2C2C2C"/>
                <w:sz w:val="19"/>
              </w:rPr>
              <w:t>Monthly</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386F27A5" w14:textId="77777777" w:rsidR="00013B8D" w:rsidRPr="00013B8D" w:rsidRDefault="00013B8D" w:rsidP="00155891">
            <w:pPr>
              <w:rPr>
                <w:lang w:val="en-CA"/>
              </w:rPr>
            </w:pPr>
            <w:r w:rsidRPr="00013B8D">
              <w:rPr>
                <w:rFonts w:ascii="Arial" w:eastAsia="Arial" w:hAnsi="Arial" w:cs="Arial"/>
                <w:color w:val="2C2C2C"/>
                <w:sz w:val="17"/>
                <w:lang w:val="en-CA"/>
              </w:rPr>
              <w:t>Rebalance if Beta drifts outside 0.15 of target</w:t>
            </w:r>
          </w:p>
        </w:tc>
      </w:tr>
      <w:tr w:rsidR="00013B8D" w:rsidRPr="00013B8D" w14:paraId="4E529CBC"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45A88D5" w14:textId="77777777" w:rsidR="00013B8D" w:rsidRPr="00013B8D" w:rsidRDefault="00013B8D" w:rsidP="00155891">
            <w:pPr>
              <w:rPr>
                <w:lang w:val="en-CA"/>
              </w:rPr>
            </w:pPr>
            <w:r w:rsidRPr="00013B8D">
              <w:rPr>
                <w:rFonts w:ascii="Arial" w:eastAsia="Arial" w:hAnsi="Arial" w:cs="Arial"/>
                <w:b/>
                <w:color w:val="2C2C2C"/>
                <w:sz w:val="19"/>
                <w:lang w:val="en-CA"/>
              </w:rPr>
              <w:t xml:space="preserve">Complete </w:t>
            </w:r>
            <w:proofErr w:type="spellStart"/>
            <w:r w:rsidRPr="00013B8D">
              <w:rPr>
                <w:rFonts w:ascii="Arial" w:eastAsia="Arial" w:hAnsi="Arial" w:cs="Arial"/>
                <w:b/>
                <w:color w:val="2C2C2C"/>
                <w:sz w:val="19"/>
                <w:lang w:val="en-CA"/>
              </w:rPr>
              <w:t>Pf</w:t>
            </w:r>
            <w:proofErr w:type="spellEnd"/>
            <w:r w:rsidRPr="00013B8D">
              <w:rPr>
                <w:rFonts w:ascii="Arial" w:eastAsia="Arial" w:hAnsi="Arial" w:cs="Arial"/>
                <w:b/>
                <w:color w:val="2C2C2C"/>
                <w:sz w:val="19"/>
                <w:lang w:val="en-CA"/>
              </w:rPr>
              <w:t xml:space="preserve"> Std Dev </w:t>
            </w:r>
            <w:proofErr w:type="spellStart"/>
            <w:r w:rsidRPr="00013B8D">
              <w:rPr>
                <w:rFonts w:ascii="Arial" w:eastAsia="Arial" w:hAnsi="Arial" w:cs="Arial"/>
                <w:b/>
                <w:color w:val="2C2C2C"/>
                <w:sz w:val="19"/>
                <w:lang w:val="en-CA"/>
              </w:rPr>
              <w:t>sdc</w:t>
            </w:r>
            <w:proofErr w:type="spellEnd"/>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203FFD91" w14:textId="77777777" w:rsidR="00013B8D" w:rsidRDefault="00013B8D" w:rsidP="00155891">
            <w:r>
              <w:rPr>
                <w:rFonts w:ascii="Arial" w:eastAsia="Arial" w:hAnsi="Arial" w:cs="Arial"/>
                <w:color w:val="2C2C2C"/>
                <w:sz w:val="19"/>
              </w:rPr>
              <w:t>&lt;= 13.50% (hard cap)</w:t>
            </w:r>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51EF6144" w14:textId="77777777" w:rsidR="00013B8D" w:rsidRDefault="00013B8D" w:rsidP="00155891">
            <w:proofErr w:type="spellStart"/>
            <w:r>
              <w:rPr>
                <w:rFonts w:ascii="Arial" w:eastAsia="Arial" w:hAnsi="Arial" w:cs="Arial"/>
                <w:color w:val="2C2C2C"/>
                <w:sz w:val="19"/>
              </w:rPr>
              <w:t>Monthly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67735361" w14:textId="77777777" w:rsidR="00013B8D" w:rsidRPr="00013B8D" w:rsidRDefault="00013B8D" w:rsidP="00155891">
            <w:pPr>
              <w:rPr>
                <w:lang w:val="en-CA"/>
              </w:rPr>
            </w:pPr>
            <w:r w:rsidRPr="00013B8D">
              <w:rPr>
                <w:rFonts w:ascii="Arial" w:eastAsia="Arial" w:hAnsi="Arial" w:cs="Arial"/>
                <w:color w:val="2C2C2C"/>
                <w:sz w:val="17"/>
                <w:lang w:val="en-CA"/>
              </w:rPr>
              <w:t xml:space="preserve">Reduce y (shift to T-Bill) if </w:t>
            </w:r>
            <w:proofErr w:type="spellStart"/>
            <w:r w:rsidRPr="00013B8D">
              <w:rPr>
                <w:rFonts w:ascii="Arial" w:eastAsia="Arial" w:hAnsi="Arial" w:cs="Arial"/>
                <w:color w:val="2C2C2C"/>
                <w:sz w:val="17"/>
                <w:lang w:val="en-CA"/>
              </w:rPr>
              <w:t>sdc</w:t>
            </w:r>
            <w:proofErr w:type="spellEnd"/>
            <w:r w:rsidRPr="00013B8D">
              <w:rPr>
                <w:rFonts w:ascii="Arial" w:eastAsia="Arial" w:hAnsi="Arial" w:cs="Arial"/>
                <w:color w:val="2C2C2C"/>
                <w:sz w:val="17"/>
                <w:lang w:val="en-CA"/>
              </w:rPr>
              <w:t xml:space="preserve"> breaches 14%</w:t>
            </w:r>
          </w:p>
        </w:tc>
      </w:tr>
      <w:tr w:rsidR="00013B8D" w:rsidRPr="00013B8D" w14:paraId="563E6D18"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5253B2BC" w14:textId="77777777" w:rsidR="00013B8D" w:rsidRDefault="00013B8D" w:rsidP="00155891">
            <w:r>
              <w:rPr>
                <w:rFonts w:ascii="Arial" w:eastAsia="Arial" w:hAnsi="Arial" w:cs="Arial"/>
                <w:b/>
                <w:color w:val="2C2C2C"/>
                <w:sz w:val="19"/>
              </w:rPr>
              <w:t xml:space="preserve">Maximum </w:t>
            </w:r>
            <w:proofErr w:type="spellStart"/>
            <w:r>
              <w:rPr>
                <w:rFonts w:ascii="Arial" w:eastAsia="Arial" w:hAnsi="Arial" w:cs="Arial"/>
                <w:b/>
                <w:color w:val="2C2C2C"/>
                <w:sz w:val="19"/>
              </w:rPr>
              <w:t>Drawdown</w:t>
            </w:r>
            <w:proofErr w:type="spellEnd"/>
            <w:r>
              <w:rPr>
                <w:rFonts w:ascii="Arial" w:eastAsia="Arial" w:hAnsi="Arial" w:cs="Arial"/>
                <w:b/>
                <w:color w:val="2C2C2C"/>
                <w:sz w:val="19"/>
              </w:rPr>
              <w:t xml:space="preserve"> (</w:t>
            </w:r>
            <w:proofErr w:type="spellStart"/>
            <w:r>
              <w:rPr>
                <w:rFonts w:ascii="Arial" w:eastAsia="Arial" w:hAnsi="Arial" w:cs="Arial"/>
                <w:b/>
                <w:color w:val="2C2C2C"/>
                <w:sz w:val="19"/>
              </w:rPr>
              <w:t>rolling</w:t>
            </w:r>
            <w:proofErr w:type="spellEnd"/>
            <w:r>
              <w:rPr>
                <w:rFonts w:ascii="Arial" w:eastAsia="Arial" w:hAnsi="Arial" w:cs="Arial"/>
                <w:b/>
                <w:color w:val="2C2C2C"/>
                <w:sz w:val="19"/>
              </w:rPr>
              <w:t xml:space="preserve"> 12M)</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6FFCB959" w14:textId="77777777" w:rsidR="00013B8D" w:rsidRDefault="00013B8D" w:rsidP="00155891">
            <w:r>
              <w:rPr>
                <w:rFonts w:ascii="Arial" w:eastAsia="Arial" w:hAnsi="Arial" w:cs="Arial"/>
                <w:color w:val="2C2C2C"/>
                <w:sz w:val="19"/>
              </w:rPr>
              <w:t>&lt; -15%</w:t>
            </w:r>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4D5F907B" w14:textId="77777777" w:rsidR="00013B8D" w:rsidRDefault="00013B8D" w:rsidP="00155891">
            <w:proofErr w:type="spellStart"/>
            <w:r>
              <w:rPr>
                <w:rFonts w:ascii="Arial" w:eastAsia="Arial" w:hAnsi="Arial" w:cs="Arial"/>
                <w:color w:val="2C2C2C"/>
                <w:sz w:val="19"/>
              </w:rPr>
              <w:t>Ongoing</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66368FFB" w14:textId="77777777" w:rsidR="00013B8D" w:rsidRPr="00013B8D" w:rsidRDefault="00013B8D" w:rsidP="00155891">
            <w:pPr>
              <w:rPr>
                <w:lang w:val="en-CA"/>
              </w:rPr>
            </w:pPr>
            <w:r w:rsidRPr="00013B8D">
              <w:rPr>
                <w:rFonts w:ascii="Arial" w:eastAsia="Arial" w:hAnsi="Arial" w:cs="Arial"/>
                <w:color w:val="2C2C2C"/>
                <w:sz w:val="17"/>
                <w:lang w:val="en-CA"/>
              </w:rPr>
              <w:t>Notify client at -10%; emergency review at -15%</w:t>
            </w:r>
          </w:p>
        </w:tc>
      </w:tr>
      <w:tr w:rsidR="00013B8D" w:rsidRPr="00013B8D" w14:paraId="397552A7"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33EC148D" w14:textId="77777777" w:rsidR="00013B8D" w:rsidRDefault="00013B8D" w:rsidP="00155891">
            <w:r>
              <w:rPr>
                <w:rFonts w:ascii="Arial" w:eastAsia="Arial" w:hAnsi="Arial" w:cs="Arial"/>
                <w:b/>
                <w:color w:val="2C2C2C"/>
                <w:sz w:val="19"/>
              </w:rPr>
              <w:t>Risky Pf Weight y</w:t>
            </w:r>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2DD2F1B" w14:textId="77777777" w:rsidR="00013B8D" w:rsidRDefault="00013B8D" w:rsidP="00155891">
            <w:r>
              <w:rPr>
                <w:rFonts w:ascii="Arial" w:eastAsia="Arial" w:hAnsi="Arial" w:cs="Arial"/>
                <w:color w:val="2C2C2C"/>
                <w:sz w:val="19"/>
              </w:rPr>
              <w:t xml:space="preserve">55%-68% </w:t>
            </w:r>
            <w:proofErr w:type="spellStart"/>
            <w:r>
              <w:rPr>
                <w:rFonts w:ascii="Arial" w:eastAsia="Arial" w:hAnsi="Arial" w:cs="Arial"/>
                <w:color w:val="2C2C2C"/>
                <w:sz w:val="19"/>
              </w:rPr>
              <w:t>permitted</w:t>
            </w:r>
            <w:proofErr w:type="spellEnd"/>
            <w:r>
              <w:rPr>
                <w:rFonts w:ascii="Arial" w:eastAsia="Arial" w:hAnsi="Arial" w:cs="Arial"/>
                <w:color w:val="2C2C2C"/>
                <w:sz w:val="19"/>
              </w:rPr>
              <w:t xml:space="preserve"> range</w:t>
            </w:r>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7A64D607" w14:textId="77777777" w:rsidR="00013B8D" w:rsidRDefault="00013B8D" w:rsidP="00155891">
            <w:proofErr w:type="spellStart"/>
            <w:r>
              <w:rPr>
                <w:rFonts w:ascii="Arial" w:eastAsia="Arial" w:hAnsi="Arial" w:cs="Arial"/>
                <w:color w:val="2C2C2C"/>
                <w:sz w:val="19"/>
              </w:rPr>
              <w:t>Monthly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973C5BB" w14:textId="77777777" w:rsidR="00013B8D" w:rsidRPr="00013B8D" w:rsidRDefault="00013B8D" w:rsidP="00155891">
            <w:pPr>
              <w:rPr>
                <w:lang w:val="en-CA"/>
              </w:rPr>
            </w:pPr>
            <w:r w:rsidRPr="00013B8D">
              <w:rPr>
                <w:rFonts w:ascii="Arial" w:eastAsia="Arial" w:hAnsi="Arial" w:cs="Arial"/>
                <w:color w:val="2C2C2C"/>
                <w:sz w:val="17"/>
                <w:lang w:val="en-CA"/>
              </w:rPr>
              <w:t>Rebalance to y=0.6133 target on quarterly calendar; drift trigger 5%</w:t>
            </w:r>
          </w:p>
        </w:tc>
      </w:tr>
      <w:tr w:rsidR="00013B8D" w:rsidRPr="00013B8D" w14:paraId="09E5B3EC"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64F0A197" w14:textId="77777777" w:rsidR="00013B8D" w:rsidRDefault="00013B8D" w:rsidP="00155891">
            <w:r>
              <w:rPr>
                <w:rFonts w:ascii="Arial" w:eastAsia="Arial" w:hAnsi="Arial" w:cs="Arial"/>
                <w:b/>
                <w:color w:val="2C2C2C"/>
                <w:sz w:val="19"/>
              </w:rPr>
              <w:t>Active Stock Weight (single)</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7E73FE49" w14:textId="77777777" w:rsidR="00013B8D" w:rsidRDefault="00013B8D" w:rsidP="00155891">
            <w:r>
              <w:rPr>
                <w:rFonts w:ascii="Arial" w:eastAsia="Arial" w:hAnsi="Arial" w:cs="Arial"/>
                <w:color w:val="2C2C2C"/>
                <w:sz w:val="19"/>
              </w:rPr>
              <w:t xml:space="preserve">&lt;= 45% per </w:t>
            </w:r>
            <w:proofErr w:type="spellStart"/>
            <w:r>
              <w:rPr>
                <w:rFonts w:ascii="Arial" w:eastAsia="Arial" w:hAnsi="Arial" w:cs="Arial"/>
                <w:color w:val="2C2C2C"/>
                <w:sz w:val="19"/>
              </w:rPr>
              <w:t>security</w:t>
            </w:r>
            <w:proofErr w:type="spellEnd"/>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42EF2DF5" w14:textId="77777777" w:rsidR="00013B8D" w:rsidRDefault="00013B8D" w:rsidP="00155891">
            <w:proofErr w:type="spellStart"/>
            <w:r>
              <w:rPr>
                <w:rFonts w:ascii="Arial" w:eastAsia="Arial" w:hAnsi="Arial" w:cs="Arial"/>
                <w:color w:val="2C2C2C"/>
                <w:sz w:val="19"/>
              </w:rPr>
              <w:t>Ongoing</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6CC2D802" w14:textId="77777777" w:rsidR="00013B8D" w:rsidRPr="00013B8D" w:rsidRDefault="00013B8D" w:rsidP="00155891">
            <w:pPr>
              <w:rPr>
                <w:lang w:val="en-CA"/>
              </w:rPr>
            </w:pPr>
            <w:r w:rsidRPr="00013B8D">
              <w:rPr>
                <w:rFonts w:ascii="Arial" w:eastAsia="Arial" w:hAnsi="Arial" w:cs="Arial"/>
                <w:color w:val="2C2C2C"/>
                <w:sz w:val="17"/>
                <w:lang w:val="en-CA"/>
              </w:rPr>
              <w:t>MLI currently at 21.08</w:t>
            </w:r>
            <w:proofErr w:type="gramStart"/>
            <w:r w:rsidRPr="00013B8D">
              <w:rPr>
                <w:rFonts w:ascii="Arial" w:eastAsia="Arial" w:hAnsi="Arial" w:cs="Arial"/>
                <w:color w:val="2C2C2C"/>
                <w:sz w:val="17"/>
                <w:lang w:val="en-CA"/>
              </w:rPr>
              <w:t>%  -</w:t>
            </w:r>
            <w:proofErr w:type="gramEnd"/>
            <w:r w:rsidRPr="00013B8D">
              <w:rPr>
                <w:rFonts w:ascii="Arial" w:eastAsia="Arial" w:hAnsi="Arial" w:cs="Arial"/>
                <w:color w:val="2C2C2C"/>
                <w:sz w:val="17"/>
                <w:lang w:val="en-CA"/>
              </w:rPr>
              <w:t xml:space="preserve">  hard cap 45%; trim on breach</w:t>
            </w:r>
          </w:p>
        </w:tc>
      </w:tr>
      <w:tr w:rsidR="00013B8D" w:rsidRPr="00013B8D" w14:paraId="58C8B994"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4C342D7D" w14:textId="77777777" w:rsidR="00013B8D" w:rsidRDefault="00013B8D" w:rsidP="00155891">
            <w:r>
              <w:rPr>
                <w:rFonts w:ascii="Arial" w:eastAsia="Arial" w:hAnsi="Arial" w:cs="Arial"/>
                <w:b/>
                <w:color w:val="2C2C2C"/>
                <w:sz w:val="19"/>
              </w:rPr>
              <w:lastRenderedPageBreak/>
              <w:t xml:space="preserve">MLI &amp; HUBB Consensus </w:t>
            </w:r>
            <w:proofErr w:type="spellStart"/>
            <w:r>
              <w:rPr>
                <w:rFonts w:ascii="Arial" w:eastAsia="Arial" w:hAnsi="Arial" w:cs="Arial"/>
                <w:b/>
                <w:color w:val="2C2C2C"/>
                <w:sz w:val="19"/>
              </w:rPr>
              <w:t>Targets</w:t>
            </w:r>
            <w:proofErr w:type="spellEnd"/>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8C1FC90" w14:textId="77777777" w:rsidR="00013B8D" w:rsidRDefault="00013B8D" w:rsidP="00155891">
            <w:r>
              <w:rPr>
                <w:rFonts w:ascii="Arial" w:eastAsia="Arial" w:hAnsi="Arial" w:cs="Arial"/>
                <w:color w:val="2C2C2C"/>
                <w:sz w:val="19"/>
              </w:rPr>
              <w:t xml:space="preserve">Monitor </w:t>
            </w:r>
            <w:proofErr w:type="spellStart"/>
            <w:r>
              <w:rPr>
                <w:rFonts w:ascii="Arial" w:eastAsia="Arial" w:hAnsi="Arial" w:cs="Arial"/>
                <w:color w:val="2C2C2C"/>
                <w:sz w:val="19"/>
              </w:rPr>
              <w:t>analyst</w:t>
            </w:r>
            <w:proofErr w:type="spellEnd"/>
            <w:r>
              <w:rPr>
                <w:rFonts w:ascii="Arial" w:eastAsia="Arial" w:hAnsi="Arial" w:cs="Arial"/>
                <w:color w:val="2C2C2C"/>
                <w:sz w:val="19"/>
              </w:rPr>
              <w:t xml:space="preserve"> </w:t>
            </w:r>
            <w:proofErr w:type="spellStart"/>
            <w:r>
              <w:rPr>
                <w:rFonts w:ascii="Arial" w:eastAsia="Arial" w:hAnsi="Arial" w:cs="Arial"/>
                <w:color w:val="2C2C2C"/>
                <w:sz w:val="19"/>
              </w:rPr>
              <w:t>revisions</w:t>
            </w:r>
            <w:proofErr w:type="spellEnd"/>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1502E639" w14:textId="77777777" w:rsidR="00013B8D" w:rsidRDefault="00013B8D" w:rsidP="00155891">
            <w:proofErr w:type="spellStart"/>
            <w:r>
              <w:rPr>
                <w:rFonts w:ascii="Arial" w:eastAsia="Arial" w:hAnsi="Arial" w:cs="Arial"/>
                <w:color w:val="2C2C2C"/>
                <w:sz w:val="19"/>
              </w:rPr>
              <w:t>Monthly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2B46DE3E" w14:textId="77777777" w:rsidR="00013B8D" w:rsidRPr="00013B8D" w:rsidRDefault="00013B8D" w:rsidP="00155891">
            <w:pPr>
              <w:rPr>
                <w:lang w:val="en-CA"/>
              </w:rPr>
            </w:pPr>
            <w:r w:rsidRPr="00013B8D">
              <w:rPr>
                <w:rFonts w:ascii="Arial" w:eastAsia="Arial" w:hAnsi="Arial" w:cs="Arial"/>
                <w:color w:val="2C2C2C"/>
                <w:sz w:val="17"/>
                <w:lang w:val="en-CA"/>
              </w:rPr>
              <w:t>Re-evaluate position if target drops below +10%</w:t>
            </w:r>
          </w:p>
        </w:tc>
      </w:tr>
      <w:tr w:rsidR="00013B8D" w:rsidRPr="00013B8D" w14:paraId="52970E0F"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2784406E" w14:textId="77777777" w:rsidR="00013B8D" w:rsidRDefault="00013B8D" w:rsidP="00155891">
            <w:r>
              <w:rPr>
                <w:rFonts w:ascii="Arial" w:eastAsia="Arial" w:hAnsi="Arial" w:cs="Arial"/>
                <w:b/>
                <w:color w:val="2C2C2C"/>
                <w:sz w:val="19"/>
              </w:rPr>
              <w:t xml:space="preserve">ESG Score (Portfolio </w:t>
            </w:r>
            <w:proofErr w:type="spellStart"/>
            <w:r>
              <w:rPr>
                <w:rFonts w:ascii="Arial" w:eastAsia="Arial" w:hAnsi="Arial" w:cs="Arial"/>
                <w:b/>
                <w:color w:val="2C2C2C"/>
                <w:sz w:val="19"/>
              </w:rPr>
              <w:t>Avg</w:t>
            </w:r>
            <w:proofErr w:type="spellEnd"/>
            <w:r>
              <w:rPr>
                <w:rFonts w:ascii="Arial" w:eastAsia="Arial" w:hAnsi="Arial" w:cs="Arial"/>
                <w:b/>
                <w:color w:val="2C2C2C"/>
                <w:sz w:val="19"/>
              </w:rPr>
              <w:t>.)</w:t>
            </w:r>
          </w:p>
        </w:tc>
        <w:tc>
          <w:tcPr>
            <w:tcW w:w="2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17A87163" w14:textId="77777777" w:rsidR="00013B8D" w:rsidRDefault="00013B8D" w:rsidP="00155891">
            <w:r>
              <w:rPr>
                <w:rFonts w:ascii="Arial" w:eastAsia="Arial" w:hAnsi="Arial" w:cs="Arial"/>
                <w:color w:val="2C2C2C"/>
                <w:sz w:val="19"/>
              </w:rPr>
              <w:t>&gt;= MSCI ESG BBB rating</w:t>
            </w:r>
          </w:p>
        </w:tc>
        <w:tc>
          <w:tcPr>
            <w:tcW w:w="15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3412A9FF" w14:textId="77777777" w:rsidR="00013B8D" w:rsidRDefault="00013B8D" w:rsidP="00155891">
            <w:proofErr w:type="spellStart"/>
            <w:r>
              <w:rPr>
                <w:rFonts w:ascii="Arial" w:eastAsia="Arial" w:hAnsi="Arial" w:cs="Arial"/>
                <w:color w:val="2C2C2C"/>
                <w:sz w:val="19"/>
              </w:rPr>
              <w:t>Semi-annual</w:t>
            </w:r>
            <w:proofErr w:type="spellEnd"/>
          </w:p>
        </w:tc>
        <w:tc>
          <w:tcPr>
            <w:tcW w:w="32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4B107CF8" w14:textId="77777777" w:rsidR="00013B8D" w:rsidRPr="00013B8D" w:rsidRDefault="00013B8D" w:rsidP="00155891">
            <w:pPr>
              <w:rPr>
                <w:lang w:val="en-CA"/>
              </w:rPr>
            </w:pPr>
            <w:r w:rsidRPr="00013B8D">
              <w:rPr>
                <w:rFonts w:ascii="Arial" w:eastAsia="Arial" w:hAnsi="Arial" w:cs="Arial"/>
                <w:color w:val="2C2C2C"/>
                <w:sz w:val="17"/>
                <w:lang w:val="en-CA"/>
              </w:rPr>
              <w:t>Review any holding that drops below ESG threshold</w:t>
            </w:r>
          </w:p>
        </w:tc>
      </w:tr>
      <w:tr w:rsidR="00013B8D" w:rsidRPr="00013B8D" w14:paraId="3461908D" w14:textId="77777777" w:rsidTr="00013B8D">
        <w:tblPrEx>
          <w:tblCellMar>
            <w:top w:w="0" w:type="dxa"/>
            <w:bottom w:w="0" w:type="dxa"/>
          </w:tblCellMar>
        </w:tblPrEx>
        <w:trPr>
          <w:jc w:val="center"/>
        </w:trPr>
        <w:tc>
          <w:tcPr>
            <w:tcW w:w="24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80338BC" w14:textId="77777777" w:rsidR="00013B8D" w:rsidRDefault="00013B8D" w:rsidP="00155891">
            <w:r>
              <w:rPr>
                <w:rFonts w:ascii="Arial" w:eastAsia="Arial" w:hAnsi="Arial" w:cs="Arial"/>
                <w:b/>
                <w:color w:val="2C2C2C"/>
                <w:sz w:val="19"/>
              </w:rPr>
              <w:t>ACWI Index Performance</w:t>
            </w:r>
          </w:p>
        </w:tc>
        <w:tc>
          <w:tcPr>
            <w:tcW w:w="2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7EA42B42" w14:textId="77777777" w:rsidR="00013B8D" w:rsidRPr="00013B8D" w:rsidRDefault="00013B8D" w:rsidP="00155891">
            <w:pPr>
              <w:rPr>
                <w:lang w:val="en-CA"/>
              </w:rPr>
            </w:pPr>
            <w:r w:rsidRPr="00013B8D">
              <w:rPr>
                <w:rFonts w:ascii="Arial" w:eastAsia="Arial" w:hAnsi="Arial" w:cs="Arial"/>
                <w:color w:val="2C2C2C"/>
                <w:sz w:val="19"/>
                <w:lang w:val="en-CA"/>
              </w:rPr>
              <w:t>Track quarterly vs. blended benchmark</w:t>
            </w:r>
          </w:p>
        </w:tc>
        <w:tc>
          <w:tcPr>
            <w:tcW w:w="15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7B1C6E32" w14:textId="77777777" w:rsidR="00013B8D" w:rsidRDefault="00013B8D" w:rsidP="00155891">
            <w:proofErr w:type="spellStart"/>
            <w:r>
              <w:rPr>
                <w:rFonts w:ascii="Arial" w:eastAsia="Arial" w:hAnsi="Arial" w:cs="Arial"/>
                <w:color w:val="2C2C2C"/>
                <w:sz w:val="19"/>
              </w:rPr>
              <w:t>Quarterly</w:t>
            </w:r>
            <w:proofErr w:type="spellEnd"/>
          </w:p>
        </w:tc>
        <w:tc>
          <w:tcPr>
            <w:tcW w:w="32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CBC71AC" w14:textId="77777777" w:rsidR="00013B8D" w:rsidRPr="00013B8D" w:rsidRDefault="00013B8D" w:rsidP="00155891">
            <w:pPr>
              <w:rPr>
                <w:lang w:val="en-CA"/>
              </w:rPr>
            </w:pPr>
            <w:r w:rsidRPr="00013B8D">
              <w:rPr>
                <w:rFonts w:ascii="Arial" w:eastAsia="Arial" w:hAnsi="Arial" w:cs="Arial"/>
                <w:color w:val="2C2C2C"/>
                <w:sz w:val="17"/>
                <w:lang w:val="en-CA"/>
              </w:rPr>
              <w:t xml:space="preserve">IPS tactical review if ACWI underperforms blended benchmark &gt;5% over 2 </w:t>
            </w:r>
            <w:proofErr w:type="spellStart"/>
            <w:r w:rsidRPr="00013B8D">
              <w:rPr>
                <w:rFonts w:ascii="Arial" w:eastAsia="Arial" w:hAnsi="Arial" w:cs="Arial"/>
                <w:color w:val="2C2C2C"/>
                <w:sz w:val="17"/>
                <w:lang w:val="en-CA"/>
              </w:rPr>
              <w:t>qtrs</w:t>
            </w:r>
            <w:proofErr w:type="spellEnd"/>
          </w:p>
        </w:tc>
      </w:tr>
    </w:tbl>
    <w:p w14:paraId="29FBF469" w14:textId="77777777" w:rsidR="00013B8D" w:rsidRPr="00013B8D" w:rsidRDefault="00013B8D" w:rsidP="00013B8D">
      <w:pPr>
        <w:spacing w:before="30" w:after="100"/>
        <w:jc w:val="center"/>
        <w:rPr>
          <w:lang w:val="en-CA"/>
        </w:rPr>
      </w:pPr>
      <w:r w:rsidRPr="00013B8D">
        <w:rPr>
          <w:rFonts w:ascii="Arial" w:eastAsia="Arial" w:hAnsi="Arial" w:cs="Arial"/>
          <w:color w:val="666666"/>
          <w:sz w:val="17"/>
          <w:lang w:val="en-CA"/>
        </w:rPr>
        <w:t xml:space="preserve">Table </w:t>
      </w:r>
      <w:proofErr w:type="gramStart"/>
      <w:r w:rsidRPr="00013B8D">
        <w:rPr>
          <w:rFonts w:ascii="Arial" w:eastAsia="Arial" w:hAnsi="Arial" w:cs="Arial"/>
          <w:color w:val="666666"/>
          <w:sz w:val="17"/>
          <w:lang w:val="en-CA"/>
        </w:rPr>
        <w:t>7.1  -</w:t>
      </w:r>
      <w:proofErr w:type="gramEnd"/>
      <w:r w:rsidRPr="00013B8D">
        <w:rPr>
          <w:rFonts w:ascii="Arial" w:eastAsia="Arial" w:hAnsi="Arial" w:cs="Arial"/>
          <w:color w:val="666666"/>
          <w:sz w:val="17"/>
          <w:lang w:val="en-CA"/>
        </w:rPr>
        <w:t xml:space="preserve">  KPI Monitoring Dashboard: ACWI Active Portfolio. Each KPI is traced to a specific model output and client objective. Frequencies are mandatory minimums; ad hoc review triggered by any 15%+ drawdown. Source: IPS team framework; ACWI_index_FV.xlsx model outputs.</w:t>
      </w:r>
    </w:p>
    <w:p w14:paraId="32D3F7AB" w14:textId="4ABDA650" w:rsidR="00013B8D" w:rsidRDefault="00013B8D" w:rsidP="00013B8D">
      <w:pPr>
        <w:pStyle w:val="Heading3"/>
      </w:pPr>
      <w:bookmarkStart w:id="51" w:name="_Toc227618187"/>
      <w:r>
        <w:t>7.3 Model Refresh Protocol</w:t>
      </w:r>
      <w:bookmarkEnd w:id="51"/>
    </w:p>
    <w:p w14:paraId="1757A8C0" w14:textId="77777777" w:rsidR="00013B8D" w:rsidRPr="00013B8D" w:rsidRDefault="00013B8D" w:rsidP="00013B8D">
      <w:pPr>
        <w:rPr>
          <w:lang w:val="en-CA"/>
        </w:rPr>
      </w:pPr>
      <w:r w:rsidRPr="00013B8D">
        <w:rPr>
          <w:lang w:val="en-CA"/>
        </w:rPr>
        <w:t>The ACWI_index_FV.xlsx model is a living document that must be refreshed to maintain its utility as the portfolio's analytical backbone. The following refresh protocol governs model updates:</w:t>
      </w:r>
    </w:p>
    <w:p w14:paraId="18F189B2" w14:textId="71F90240" w:rsidR="00013B8D" w:rsidRPr="00013B8D" w:rsidRDefault="00013B8D" w:rsidP="00013B8D">
      <w:pPr>
        <w:pStyle w:val="ListParagraph"/>
        <w:numPr>
          <w:ilvl w:val="0"/>
          <w:numId w:val="8"/>
        </w:numPr>
      </w:pPr>
      <w:r w:rsidRPr="00013B8D">
        <w:t>Monthly: Prices and EPS updated in Data. Securities sheet (Panel 3 price time series); P/E ratios and dividend yields refreshed; analyst consensus targets updated.</w:t>
      </w:r>
    </w:p>
    <w:p w14:paraId="053C3122" w14:textId="0315DF70" w:rsidR="00013B8D" w:rsidRPr="00013B8D" w:rsidRDefault="00013B8D" w:rsidP="00013B8D">
      <w:pPr>
        <w:pStyle w:val="ListParagraph"/>
        <w:numPr>
          <w:ilvl w:val="0"/>
          <w:numId w:val="8"/>
        </w:numPr>
      </w:pPr>
      <w:r w:rsidRPr="00013B8D">
        <w:t xml:space="preserve">Quarterly: 60-month return series extended by one month; alpha regressions (Panel 1/3) recalculated; adjusted alphas (Panel E) recomputed using updated PE ratios; Treynor-Black weights (Panel F/G) </w:t>
      </w:r>
      <w:proofErr w:type="spellStart"/>
      <w:r w:rsidRPr="00013B8D">
        <w:t>reoptimised</w:t>
      </w:r>
      <w:proofErr w:type="spellEnd"/>
      <w:r w:rsidRPr="00013B8D">
        <w:t>; Capital Allocation sheet utility maximisation rerun.</w:t>
      </w:r>
    </w:p>
    <w:p w14:paraId="7135930E" w14:textId="15669DE1" w:rsidR="00013B8D" w:rsidRPr="00013B8D" w:rsidRDefault="00013B8D" w:rsidP="00013B8D">
      <w:pPr>
        <w:pStyle w:val="ListParagraph"/>
        <w:numPr>
          <w:ilvl w:val="0"/>
          <w:numId w:val="8"/>
        </w:numPr>
      </w:pPr>
      <w:r w:rsidRPr="00013B8D">
        <w:t>Semi-annually: Risk aversion index A reassessed through client consultation; permitted allocation ranges reviewed; SAA reviewed for any necessary tactical adjustment; bond duration and convexity recalculated based on updated TLT characteristics.</w:t>
      </w:r>
    </w:p>
    <w:p w14:paraId="2F5778A6" w14:textId="581678ED" w:rsidR="00013B8D" w:rsidRPr="00013B8D" w:rsidRDefault="00013B8D" w:rsidP="00013B8D">
      <w:pPr>
        <w:pStyle w:val="ListParagraph"/>
        <w:numPr>
          <w:ilvl w:val="0"/>
          <w:numId w:val="8"/>
        </w:numPr>
      </w:pPr>
      <w:r w:rsidRPr="00013B8D">
        <w:t xml:space="preserve">Event-driven: Any security in the universe that reports earnings deviating &gt;15% from </w:t>
      </w:r>
      <w:proofErr w:type="gramStart"/>
      <w:r w:rsidRPr="00013B8D">
        <w:t>consensus  immediate</w:t>
      </w:r>
      <w:proofErr w:type="gramEnd"/>
      <w:r w:rsidRPr="00013B8D">
        <w:t xml:space="preserve"> alpha forecast revision. Any regulatory or rate policy change affecting the grid investment </w:t>
      </w:r>
      <w:proofErr w:type="gramStart"/>
      <w:r w:rsidRPr="00013B8D">
        <w:t>cycle  immediate</w:t>
      </w:r>
      <w:proofErr w:type="gramEnd"/>
      <w:r w:rsidRPr="00013B8D">
        <w:t xml:space="preserve"> tactical review. MLI or HUBB consensus target </w:t>
      </w:r>
      <w:proofErr w:type="gramStart"/>
      <w:r w:rsidRPr="00013B8D">
        <w:t>revision  reassess</w:t>
      </w:r>
      <w:proofErr w:type="gramEnd"/>
      <w:r w:rsidRPr="00013B8D">
        <w:t xml:space="preserve"> weights accordingly. HUBB </w:t>
      </w:r>
      <w:proofErr w:type="gramStart"/>
      <w:r w:rsidRPr="00013B8D">
        <w:t>in particular requires</w:t>
      </w:r>
      <w:proofErr w:type="gramEnd"/>
      <w:r w:rsidRPr="00013B8D">
        <w:t xml:space="preserve"> careful monitoring given its negative consensus.</w:t>
      </w:r>
    </w:p>
    <w:p w14:paraId="30D8B34C" w14:textId="3BA7EE35" w:rsidR="00013B8D" w:rsidRDefault="00013B8D" w:rsidP="00013B8D">
      <w:pPr>
        <w:pStyle w:val="Heading3"/>
      </w:pPr>
      <w:bookmarkStart w:id="52" w:name="_Toc227618188"/>
      <w:r>
        <w:t>7.4 Reporting Check</w:t>
      </w:r>
      <w:bookmarkEnd w:id="52"/>
    </w:p>
    <w:p w14:paraId="4FEA5897" w14:textId="77777777" w:rsidR="00013B8D" w:rsidRPr="00013B8D" w:rsidRDefault="00013B8D" w:rsidP="00013B8D">
      <w:pPr>
        <w:rPr>
          <w:lang w:val="en-CA"/>
        </w:rPr>
      </w:pPr>
      <w:r w:rsidRPr="00013B8D">
        <w:rPr>
          <w:lang w:val="en-CA"/>
        </w:rPr>
        <w:t>Quarterly performance reports will be structured around three key questions that directly address the client's investment objectives:</w:t>
      </w:r>
    </w:p>
    <w:p w14:paraId="6C557F35" w14:textId="35F79513" w:rsidR="00013B8D" w:rsidRPr="00013B8D" w:rsidRDefault="00013B8D" w:rsidP="00013B8D">
      <w:pPr>
        <w:pStyle w:val="ListParagraph"/>
        <w:numPr>
          <w:ilvl w:val="0"/>
          <w:numId w:val="8"/>
        </w:numPr>
      </w:pPr>
      <w:r w:rsidRPr="00013B8D">
        <w:t>Are we meeting the return target? E(</w:t>
      </w:r>
      <w:proofErr w:type="spellStart"/>
      <w:r w:rsidRPr="00013B8D">
        <w:t>Rc</w:t>
      </w:r>
      <w:proofErr w:type="spellEnd"/>
      <w:r w:rsidRPr="00013B8D">
        <w:t>) = 18.61%. Report: actual quarterly and rolling 12-month return vs. target and vs. ACWI index benchmark.</w:t>
      </w:r>
    </w:p>
    <w:p w14:paraId="26FDF2BE" w14:textId="65C860A8" w:rsidR="00013B8D" w:rsidRPr="00013B8D" w:rsidRDefault="00013B8D" w:rsidP="00013B8D">
      <w:pPr>
        <w:pStyle w:val="ListParagraph"/>
        <w:numPr>
          <w:ilvl w:val="0"/>
          <w:numId w:val="8"/>
        </w:numPr>
      </w:pPr>
      <w:r w:rsidRPr="00013B8D">
        <w:t xml:space="preserve">Are we managing risk within the conservative mandate? </w:t>
      </w:r>
      <w:proofErr w:type="spellStart"/>
      <w:r w:rsidRPr="00013B8D">
        <w:t>sdc</w:t>
      </w:r>
      <w:proofErr w:type="spellEnd"/>
      <w:r w:rsidRPr="00013B8D">
        <w:t xml:space="preserve"> target 12.32%. Report: realised portfolio volatility, maximum drawdown, Sharpe ratio trend, and beta drift.</w:t>
      </w:r>
    </w:p>
    <w:p w14:paraId="77561872" w14:textId="1D6F0510" w:rsidR="00013B8D" w:rsidRPr="00013B8D" w:rsidRDefault="00013B8D" w:rsidP="00013B8D">
      <w:pPr>
        <w:pStyle w:val="ListParagraph"/>
        <w:numPr>
          <w:ilvl w:val="0"/>
          <w:numId w:val="8"/>
        </w:numPr>
      </w:pPr>
      <w:r w:rsidRPr="00013B8D">
        <w:t>Is the active strategy adding value? Jensen's Alpha &gt; 0, IR &gt; 0.30. Report: attribution analysis separating benchmark return from active overlay contribution; alpha persistence analysis.</w:t>
      </w:r>
    </w:p>
    <w:p w14:paraId="58DDF4C4" w14:textId="48EE9CED" w:rsidR="00A15738" w:rsidRDefault="00013B8D" w:rsidP="007A27CE">
      <w:pPr>
        <w:rPr>
          <w:lang w:val="en-CA"/>
        </w:rPr>
      </w:pPr>
      <w:r w:rsidRPr="00013B8D">
        <w:rPr>
          <w:lang w:val="en-CA"/>
        </w:rPr>
        <w:t>Each quarterly report will also include an update on the AI-energy macroeconomic thesis</w:t>
      </w:r>
      <w:r>
        <w:rPr>
          <w:lang w:val="en-CA"/>
        </w:rPr>
        <w:t xml:space="preserve">, </w:t>
      </w:r>
      <w:r w:rsidRPr="00013B8D">
        <w:rPr>
          <w:lang w:val="en-CA"/>
        </w:rPr>
        <w:t>specifically tracking AI-related power demand data (</w:t>
      </w:r>
      <w:proofErr w:type="spellStart"/>
      <w:r w:rsidRPr="00013B8D">
        <w:rPr>
          <w:lang w:val="en-CA"/>
        </w:rPr>
        <w:t>hyperscaler</w:t>
      </w:r>
      <w:proofErr w:type="spellEnd"/>
      <w:r w:rsidRPr="00013B8D">
        <w:rPr>
          <w:lang w:val="en-CA"/>
        </w:rPr>
        <w:t xml:space="preserve"> capex announcements, data centre build plans, grid congestion metrics) to validate the continued relevance of the investment thesis that drives the entire strategy. If the thesis shows signs of structural weakening, the allocation to active ACWI positions will be reduced in favour of the passive ACWI index or the T-Bill sleeve.</w:t>
      </w:r>
      <w:bookmarkStart w:id="53" w:name="_Toc227618189"/>
    </w:p>
    <w:p w14:paraId="7C3CF507" w14:textId="77777777" w:rsidR="007A27CE" w:rsidRDefault="007A27CE" w:rsidP="007A27CE">
      <w:pPr>
        <w:rPr>
          <w:lang w:val="en-CA"/>
        </w:rPr>
      </w:pPr>
    </w:p>
    <w:p w14:paraId="01B2CA4D" w14:textId="77777777" w:rsidR="007A27CE" w:rsidRPr="007A27CE" w:rsidRDefault="007A27CE" w:rsidP="007A27CE">
      <w:pPr>
        <w:rPr>
          <w:lang w:val="en-CA"/>
        </w:rPr>
      </w:pPr>
    </w:p>
    <w:p w14:paraId="02372E46" w14:textId="1F423DB7" w:rsidR="00013B8D" w:rsidRDefault="00013B8D" w:rsidP="00013B8D">
      <w:pPr>
        <w:pStyle w:val="Heading1"/>
      </w:pPr>
      <w:r>
        <w:lastRenderedPageBreak/>
        <w:t>Appendices</w:t>
      </w:r>
      <w:bookmarkEnd w:id="53"/>
    </w:p>
    <w:p w14:paraId="793B350A" w14:textId="2BB12716" w:rsidR="00013B8D" w:rsidRDefault="00013B8D" w:rsidP="00013B8D">
      <w:pPr>
        <w:pStyle w:val="Heading3"/>
      </w:pPr>
      <w:bookmarkStart w:id="54" w:name="_Toc227618190"/>
      <w:r>
        <w:t>Appendix A – Investor Profiling Framework Summary</w:t>
      </w:r>
      <w:bookmarkEnd w:id="54"/>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000"/>
        <w:gridCol w:w="4760"/>
      </w:tblGrid>
      <w:tr w:rsidR="00013B8D" w14:paraId="76CA9FD3" w14:textId="77777777" w:rsidTr="00013B8D">
        <w:tblPrEx>
          <w:tblCellMar>
            <w:top w:w="0" w:type="dxa"/>
            <w:bottom w:w="0" w:type="dxa"/>
          </w:tblCellMar>
        </w:tblPrEx>
        <w:trPr>
          <w:jc w:val="center"/>
        </w:trPr>
        <w:tc>
          <w:tcPr>
            <w:tcW w:w="260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665807B8" w14:textId="77777777" w:rsidR="00013B8D" w:rsidRDefault="00013B8D" w:rsidP="00155891">
            <w:pPr>
              <w:jc w:val="center"/>
            </w:pPr>
            <w:r>
              <w:rPr>
                <w:rFonts w:ascii="Arial" w:eastAsia="Arial" w:hAnsi="Arial" w:cs="Arial"/>
                <w:b/>
                <w:color w:val="FFFFFF"/>
                <w:sz w:val="18"/>
              </w:rPr>
              <w:t>Framework</w:t>
            </w:r>
          </w:p>
        </w:tc>
        <w:tc>
          <w:tcPr>
            <w:tcW w:w="200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5A2CFC1A" w14:textId="77777777" w:rsidR="00013B8D" w:rsidRDefault="00013B8D" w:rsidP="00155891">
            <w:pPr>
              <w:jc w:val="center"/>
            </w:pPr>
            <w:r>
              <w:rPr>
                <w:rFonts w:ascii="Arial" w:eastAsia="Arial" w:hAnsi="Arial" w:cs="Arial"/>
                <w:b/>
                <w:color w:val="FFFFFF"/>
                <w:sz w:val="18"/>
              </w:rPr>
              <w:t>Classification</w:t>
            </w:r>
          </w:p>
        </w:tc>
        <w:tc>
          <w:tcPr>
            <w:tcW w:w="4760" w:type="dxa"/>
            <w:tcBorders>
              <w:top w:val="single" w:sz="1" w:space="0" w:color="CCCCCC"/>
              <w:left w:val="single" w:sz="1" w:space="0" w:color="CCCCCC"/>
              <w:bottom w:val="single" w:sz="1" w:space="0" w:color="CCCCCC"/>
              <w:right w:val="single" w:sz="1" w:space="0" w:color="CCCCCC"/>
            </w:tcBorders>
            <w:shd w:val="clear" w:color="auto" w:fill="2E5596"/>
            <w:tcMar>
              <w:top w:w="100" w:type="dxa"/>
              <w:left w:w="130" w:type="dxa"/>
              <w:bottom w:w="100" w:type="dxa"/>
              <w:right w:w="130" w:type="dxa"/>
            </w:tcMar>
            <w:vAlign w:val="center"/>
          </w:tcPr>
          <w:p w14:paraId="0AD05E9F" w14:textId="77777777" w:rsidR="00013B8D" w:rsidRDefault="00013B8D" w:rsidP="00155891">
            <w:pPr>
              <w:jc w:val="center"/>
            </w:pPr>
            <w:r>
              <w:rPr>
                <w:rFonts w:ascii="Arial" w:eastAsia="Arial" w:hAnsi="Arial" w:cs="Arial"/>
                <w:b/>
                <w:color w:val="FFFFFF"/>
                <w:sz w:val="18"/>
              </w:rPr>
              <w:t>Portfolio Management Implications</w:t>
            </w:r>
          </w:p>
        </w:tc>
      </w:tr>
      <w:tr w:rsidR="00013B8D" w:rsidRPr="00013B8D" w14:paraId="716F1B56" w14:textId="77777777" w:rsidTr="00013B8D">
        <w:tblPrEx>
          <w:tblCellMar>
            <w:top w:w="0" w:type="dxa"/>
            <w:bottom w:w="0" w:type="dxa"/>
          </w:tblCellMar>
        </w:tblPrEx>
        <w:trPr>
          <w:jc w:val="center"/>
        </w:trPr>
        <w:tc>
          <w:tcPr>
            <w:tcW w:w="26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566245FB" w14:textId="77777777" w:rsidR="00013B8D" w:rsidRDefault="00013B8D" w:rsidP="00155891">
            <w:r>
              <w:rPr>
                <w:rFonts w:ascii="Arial" w:eastAsia="Arial" w:hAnsi="Arial" w:cs="Arial"/>
                <w:b/>
                <w:color w:val="2C2C2C"/>
                <w:sz w:val="19"/>
              </w:rPr>
              <w:t>Barnewall (1987)</w:t>
            </w:r>
          </w:p>
        </w:tc>
        <w:tc>
          <w:tcPr>
            <w:tcW w:w="20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1323906B" w14:textId="77777777" w:rsidR="00013B8D" w:rsidRDefault="00013B8D" w:rsidP="00155891">
            <w:r>
              <w:rPr>
                <w:rFonts w:ascii="Arial" w:eastAsia="Arial" w:hAnsi="Arial" w:cs="Arial"/>
                <w:color w:val="2C2C2C"/>
                <w:sz w:val="19"/>
              </w:rPr>
              <w:t xml:space="preserve">Active </w:t>
            </w:r>
            <w:proofErr w:type="spellStart"/>
            <w:r>
              <w:rPr>
                <w:rFonts w:ascii="Arial" w:eastAsia="Arial" w:hAnsi="Arial" w:cs="Arial"/>
                <w:color w:val="2C2C2C"/>
                <w:sz w:val="19"/>
              </w:rPr>
              <w:t>Investor</w:t>
            </w:r>
            <w:proofErr w:type="spellEnd"/>
          </w:p>
        </w:tc>
        <w:tc>
          <w:tcPr>
            <w:tcW w:w="47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5668115E" w14:textId="77777777" w:rsidR="00013B8D" w:rsidRPr="00013B8D" w:rsidRDefault="00013B8D" w:rsidP="00155891">
            <w:pPr>
              <w:rPr>
                <w:lang w:val="en-CA"/>
              </w:rPr>
            </w:pPr>
            <w:r w:rsidRPr="00013B8D">
              <w:rPr>
                <w:rFonts w:ascii="Arial" w:eastAsia="Arial" w:hAnsi="Arial" w:cs="Arial"/>
                <w:color w:val="2C2C2C"/>
                <w:sz w:val="19"/>
                <w:lang w:val="en-CA"/>
              </w:rPr>
              <w:t>Growth mandate appropriate; wealth accumulated through risk-taking behaviour; willingness to sacrifice current consumption for future capital appreciation.</w:t>
            </w:r>
          </w:p>
        </w:tc>
      </w:tr>
      <w:tr w:rsidR="00013B8D" w:rsidRPr="00013B8D" w14:paraId="35024222" w14:textId="77777777" w:rsidTr="00013B8D">
        <w:tblPrEx>
          <w:tblCellMar>
            <w:top w:w="0" w:type="dxa"/>
            <w:bottom w:w="0" w:type="dxa"/>
          </w:tblCellMar>
        </w:tblPrEx>
        <w:trPr>
          <w:jc w:val="center"/>
        </w:trPr>
        <w:tc>
          <w:tcPr>
            <w:tcW w:w="26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4E78AA6D" w14:textId="77777777" w:rsidR="00013B8D" w:rsidRDefault="00013B8D" w:rsidP="00155891">
            <w:r>
              <w:rPr>
                <w:rFonts w:ascii="Arial" w:eastAsia="Arial" w:hAnsi="Arial" w:cs="Arial"/>
                <w:b/>
                <w:color w:val="2C2C2C"/>
                <w:sz w:val="19"/>
              </w:rPr>
              <w:t>BBK (1986)</w:t>
            </w:r>
          </w:p>
        </w:tc>
        <w:tc>
          <w:tcPr>
            <w:tcW w:w="200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062EFEED" w14:textId="77777777" w:rsidR="00013B8D" w:rsidRDefault="00013B8D" w:rsidP="00155891">
            <w:proofErr w:type="spellStart"/>
            <w:r>
              <w:rPr>
                <w:rFonts w:ascii="Arial" w:eastAsia="Arial" w:hAnsi="Arial" w:cs="Arial"/>
                <w:color w:val="2C2C2C"/>
                <w:sz w:val="19"/>
              </w:rPr>
              <w:t>Individualist</w:t>
            </w:r>
            <w:proofErr w:type="spellEnd"/>
          </w:p>
        </w:tc>
        <w:tc>
          <w:tcPr>
            <w:tcW w:w="4760" w:type="dxa"/>
            <w:tcBorders>
              <w:top w:val="single" w:sz="1" w:space="0" w:color="CCCCCC"/>
              <w:left w:val="single" w:sz="1" w:space="0" w:color="CCCCCC"/>
              <w:bottom w:val="single" w:sz="1" w:space="0" w:color="CCCCCC"/>
              <w:right w:val="single" w:sz="1" w:space="0" w:color="CCCCCC"/>
            </w:tcBorders>
            <w:tcMar>
              <w:top w:w="80" w:type="dxa"/>
              <w:left w:w="130" w:type="dxa"/>
              <w:bottom w:w="80" w:type="dxa"/>
              <w:right w:w="130" w:type="dxa"/>
            </w:tcMar>
            <w:vAlign w:val="center"/>
          </w:tcPr>
          <w:p w14:paraId="53F69014" w14:textId="77777777" w:rsidR="00013B8D" w:rsidRPr="00013B8D" w:rsidRDefault="00013B8D" w:rsidP="00155891">
            <w:pPr>
              <w:rPr>
                <w:lang w:val="en-CA"/>
              </w:rPr>
            </w:pPr>
            <w:r w:rsidRPr="00013B8D">
              <w:rPr>
                <w:rFonts w:ascii="Arial" w:eastAsia="Arial" w:hAnsi="Arial" w:cs="Arial"/>
                <w:color w:val="2C2C2C"/>
                <w:sz w:val="19"/>
                <w:lang w:val="en-CA"/>
              </w:rPr>
              <w:t>Research-driven active management; receptive to quantitative analysis; seek professional advice to optimise, not impulsive; comfortable with calculated risk.</w:t>
            </w:r>
          </w:p>
        </w:tc>
      </w:tr>
      <w:tr w:rsidR="00013B8D" w:rsidRPr="00013B8D" w14:paraId="245AB7FD" w14:textId="77777777" w:rsidTr="00013B8D">
        <w:tblPrEx>
          <w:tblCellMar>
            <w:top w:w="0" w:type="dxa"/>
            <w:bottom w:w="0" w:type="dxa"/>
          </w:tblCellMar>
        </w:tblPrEx>
        <w:trPr>
          <w:jc w:val="center"/>
        </w:trPr>
        <w:tc>
          <w:tcPr>
            <w:tcW w:w="26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32AFD749" w14:textId="77777777" w:rsidR="00013B8D" w:rsidRDefault="00013B8D" w:rsidP="00155891">
            <w:r>
              <w:rPr>
                <w:rFonts w:ascii="Arial" w:eastAsia="Arial" w:hAnsi="Arial" w:cs="Arial"/>
                <w:b/>
                <w:color w:val="2C2C2C"/>
                <w:sz w:val="19"/>
              </w:rPr>
              <w:t>CFA Institute (2022)</w:t>
            </w:r>
          </w:p>
        </w:tc>
        <w:tc>
          <w:tcPr>
            <w:tcW w:w="200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1EE2E98F" w14:textId="77777777" w:rsidR="00013B8D" w:rsidRDefault="00013B8D" w:rsidP="00155891">
            <w:proofErr w:type="spellStart"/>
            <w:r>
              <w:rPr>
                <w:rFonts w:ascii="Arial" w:eastAsia="Arial" w:hAnsi="Arial" w:cs="Arial"/>
                <w:color w:val="2C2C2C"/>
                <w:sz w:val="19"/>
              </w:rPr>
              <w:t>Individualist</w:t>
            </w:r>
            <w:proofErr w:type="spellEnd"/>
            <w:r>
              <w:rPr>
                <w:rFonts w:ascii="Arial" w:eastAsia="Arial" w:hAnsi="Arial" w:cs="Arial"/>
                <w:color w:val="2C2C2C"/>
                <w:sz w:val="19"/>
              </w:rPr>
              <w:t xml:space="preserve"> / Net Saver</w:t>
            </w:r>
          </w:p>
        </w:tc>
        <w:tc>
          <w:tcPr>
            <w:tcW w:w="4760" w:type="dxa"/>
            <w:tcBorders>
              <w:top w:val="single" w:sz="1" w:space="0" w:color="CCCCCC"/>
              <w:left w:val="single" w:sz="1" w:space="0" w:color="CCCCCC"/>
              <w:bottom w:val="single" w:sz="1" w:space="0" w:color="CCCCCC"/>
              <w:right w:val="single" w:sz="1" w:space="0" w:color="CCCCCC"/>
            </w:tcBorders>
            <w:shd w:val="clear" w:color="auto" w:fill="F5F8FC"/>
            <w:tcMar>
              <w:top w:w="80" w:type="dxa"/>
              <w:left w:w="130" w:type="dxa"/>
              <w:bottom w:w="80" w:type="dxa"/>
              <w:right w:w="130" w:type="dxa"/>
            </w:tcMar>
            <w:vAlign w:val="center"/>
          </w:tcPr>
          <w:p w14:paraId="0226C4DB" w14:textId="77777777" w:rsidR="00013B8D" w:rsidRPr="00013B8D" w:rsidRDefault="00013B8D" w:rsidP="00155891">
            <w:pPr>
              <w:rPr>
                <w:lang w:val="en-CA"/>
              </w:rPr>
            </w:pPr>
            <w:r w:rsidRPr="00013B8D">
              <w:rPr>
                <w:rFonts w:ascii="Arial" w:eastAsia="Arial" w:hAnsi="Arial" w:cs="Arial"/>
                <w:color w:val="2C2C2C"/>
                <w:sz w:val="19"/>
                <w:lang w:val="en-CA"/>
              </w:rPr>
              <w:t>Evidence-based decisions; long-horizon focus; formal risk governance structures add value; open to diversified growth with documented guardrails.</w:t>
            </w:r>
          </w:p>
        </w:tc>
      </w:tr>
    </w:tbl>
    <w:p w14:paraId="390DA02D" w14:textId="5FC3306D" w:rsidR="00013B8D" w:rsidRDefault="00013B8D" w:rsidP="00013B8D">
      <w:pPr>
        <w:spacing w:before="30" w:after="100"/>
        <w:jc w:val="center"/>
        <w:rPr>
          <w:rFonts w:ascii="Arial" w:eastAsia="Arial" w:hAnsi="Arial" w:cs="Arial"/>
          <w:color w:val="666666"/>
          <w:sz w:val="17"/>
          <w:lang w:val="en-CA"/>
        </w:rPr>
      </w:pPr>
      <w:r w:rsidRPr="00013B8D">
        <w:rPr>
          <w:rFonts w:ascii="Arial" w:eastAsia="Arial" w:hAnsi="Arial" w:cs="Arial"/>
          <w:color w:val="666666"/>
          <w:sz w:val="17"/>
          <w:lang w:val="en-CA"/>
        </w:rPr>
        <w:t xml:space="preserve">Table </w:t>
      </w:r>
      <w:r>
        <w:rPr>
          <w:rFonts w:ascii="Arial" w:eastAsia="Arial" w:hAnsi="Arial" w:cs="Arial"/>
          <w:color w:val="666666"/>
          <w:sz w:val="17"/>
          <w:lang w:val="en-CA"/>
        </w:rPr>
        <w:t>A</w:t>
      </w:r>
      <w:r w:rsidRPr="00013B8D">
        <w:rPr>
          <w:rFonts w:ascii="Arial" w:eastAsia="Arial" w:hAnsi="Arial" w:cs="Arial"/>
          <w:color w:val="666666"/>
          <w:sz w:val="17"/>
          <w:lang w:val="en-CA"/>
        </w:rPr>
        <w:t>.1 — Investor Profiling Framework Summary. Sources: Barnewall (1987); BBK (1986); CFA Institute (2022).</w:t>
      </w:r>
    </w:p>
    <w:p w14:paraId="66CC618D" w14:textId="1B81B4D1" w:rsidR="00013B8D" w:rsidRDefault="00013B8D" w:rsidP="00013B8D">
      <w:pPr>
        <w:pStyle w:val="Heading3"/>
      </w:pPr>
      <w:bookmarkStart w:id="55" w:name="_Toc227618191"/>
      <w:r>
        <w:t>Appendix B – Glossary of Key Terms</w:t>
      </w:r>
      <w:bookmarkEnd w:id="55"/>
    </w:p>
    <w:p w14:paraId="57CA293E" w14:textId="4A1B5573" w:rsidR="00013B8D" w:rsidRPr="00013B8D" w:rsidRDefault="00013B8D" w:rsidP="00013B8D">
      <w:pPr>
        <w:pStyle w:val="ListParagraph"/>
        <w:numPr>
          <w:ilvl w:val="0"/>
          <w:numId w:val="8"/>
        </w:numPr>
      </w:pPr>
      <w:r w:rsidRPr="00013B8D">
        <w:t>Alpha (α): Excess return generated above the expected return based on systematic risk (beta). Active management aims to generate positive alpha.</w:t>
      </w:r>
    </w:p>
    <w:p w14:paraId="019D13B5" w14:textId="32209C18" w:rsidR="00013B8D" w:rsidRPr="00013B8D" w:rsidRDefault="00013B8D" w:rsidP="00013B8D">
      <w:pPr>
        <w:pStyle w:val="ListParagraph"/>
        <w:numPr>
          <w:ilvl w:val="0"/>
          <w:numId w:val="8"/>
        </w:numPr>
      </w:pPr>
      <w:r w:rsidRPr="00013B8D">
        <w:t>Beta (β): Measure of portfolio sensitivity to market movements. A beta of 1.2 means the portfolio moves 1.2% for every 1% move in the benchmark.</w:t>
      </w:r>
    </w:p>
    <w:p w14:paraId="0209B49D" w14:textId="7CBAE205" w:rsidR="00013B8D" w:rsidRPr="00013B8D" w:rsidRDefault="00013B8D" w:rsidP="00013B8D">
      <w:pPr>
        <w:pStyle w:val="ListParagraph"/>
        <w:numPr>
          <w:ilvl w:val="0"/>
          <w:numId w:val="8"/>
        </w:numPr>
      </w:pPr>
      <w:r w:rsidRPr="00013B8D">
        <w:t>CAPE Ratio: Cyclically Adjusted Price-to-Earnings ratio. Divides current price by 10-year inflation-adjusted average earnings. High CAPE indicates elevated valuations relative to long-run history.</w:t>
      </w:r>
    </w:p>
    <w:p w14:paraId="4962A4CE" w14:textId="304684E4" w:rsidR="00013B8D" w:rsidRPr="00013B8D" w:rsidRDefault="00013B8D" w:rsidP="00013B8D">
      <w:pPr>
        <w:pStyle w:val="ListParagraph"/>
        <w:numPr>
          <w:ilvl w:val="0"/>
          <w:numId w:val="8"/>
        </w:numPr>
      </w:pPr>
      <w:r w:rsidRPr="00013B8D">
        <w:t>Information Ratio: Ratio of active return (portfolio minus benchmark) to tracking error. Measures the consistency of alpha generation.</w:t>
      </w:r>
    </w:p>
    <w:p w14:paraId="685959E5" w14:textId="7D880211" w:rsidR="00013B8D" w:rsidRPr="00013B8D" w:rsidRDefault="00013B8D" w:rsidP="00013B8D">
      <w:pPr>
        <w:pStyle w:val="ListParagraph"/>
        <w:numPr>
          <w:ilvl w:val="0"/>
          <w:numId w:val="8"/>
        </w:numPr>
      </w:pPr>
      <w:r w:rsidRPr="00013B8D">
        <w:t>Tracking Error: Standard deviation of the difference between portfolio returns and benchmark returns. Indicates the degree of active positioning.</w:t>
      </w:r>
    </w:p>
    <w:p w14:paraId="46DA9CBA" w14:textId="02DC3CC0" w:rsidR="00013B8D" w:rsidRPr="00013B8D" w:rsidRDefault="00013B8D" w:rsidP="00013B8D">
      <w:pPr>
        <w:pStyle w:val="ListParagraph"/>
        <w:numPr>
          <w:ilvl w:val="0"/>
          <w:numId w:val="8"/>
        </w:numPr>
      </w:pPr>
      <w:proofErr w:type="spellStart"/>
      <w:r w:rsidRPr="00013B8D">
        <w:t>VaR</w:t>
      </w:r>
      <w:proofErr w:type="spellEnd"/>
      <w:r w:rsidRPr="00013B8D">
        <w:t xml:space="preserve"> (Value-at-Risk): Statistical estimate of the maximum expected portfolio loss over a given period at a specified confidence level (e.g., 95% </w:t>
      </w:r>
      <w:proofErr w:type="spellStart"/>
      <w:r w:rsidRPr="00013B8D">
        <w:t>VaR</w:t>
      </w:r>
      <w:proofErr w:type="spellEnd"/>
      <w:r w:rsidRPr="00013B8D">
        <w:t xml:space="preserve"> of 8% means a 5% probability of losing more than 8% </w:t>
      </w:r>
      <w:proofErr w:type="gramStart"/>
      <w:r w:rsidRPr="00013B8D">
        <w:t>in a given</w:t>
      </w:r>
      <w:proofErr w:type="gramEnd"/>
      <w:r w:rsidRPr="00013B8D">
        <w:t xml:space="preserve"> month).</w:t>
      </w:r>
    </w:p>
    <w:p w14:paraId="1E23FF49" w14:textId="3030552E" w:rsidR="007A27CE" w:rsidRPr="007A27CE" w:rsidRDefault="00013B8D" w:rsidP="00D62EAC">
      <w:pPr>
        <w:pStyle w:val="ListParagraph"/>
        <w:numPr>
          <w:ilvl w:val="0"/>
          <w:numId w:val="8"/>
        </w:numPr>
      </w:pPr>
      <w:r w:rsidRPr="00013B8D">
        <w:t xml:space="preserve">GARP: Growth at a Reasonable </w:t>
      </w:r>
      <w:proofErr w:type="gramStart"/>
      <w:r w:rsidRPr="00013B8D">
        <w:t>Price</w:t>
      </w:r>
      <w:r w:rsidR="00175B2B">
        <w:t xml:space="preserve">, </w:t>
      </w:r>
      <w:r w:rsidRPr="00013B8D">
        <w:t xml:space="preserve"> investment</w:t>
      </w:r>
      <w:proofErr w:type="gramEnd"/>
      <w:r w:rsidRPr="00013B8D">
        <w:t xml:space="preserve"> style combining growth characteristics with valuation discipline.</w:t>
      </w:r>
    </w:p>
    <w:p w14:paraId="5A2AACA2" w14:textId="77777777" w:rsidR="00856FEC" w:rsidRDefault="00856FEC" w:rsidP="00D62EAC">
      <w:pPr>
        <w:rPr>
          <w:lang w:val="en-CA"/>
        </w:rPr>
      </w:pPr>
    </w:p>
    <w:p w14:paraId="54E1020B" w14:textId="4C258FE8" w:rsidR="00856FEC" w:rsidRDefault="00856FEC" w:rsidP="00856FEC">
      <w:pPr>
        <w:pStyle w:val="Heading3"/>
      </w:pPr>
      <w:r>
        <w:t xml:space="preserve">Appendix </w:t>
      </w:r>
      <w:r>
        <w:t xml:space="preserve">C </w:t>
      </w:r>
      <w:r>
        <w:t xml:space="preserve">– </w:t>
      </w:r>
      <w:r>
        <w:t>Client Questionnaire</w:t>
      </w:r>
    </w:p>
    <w:p w14:paraId="1AD2A49F" w14:textId="77777777" w:rsidR="00856FEC" w:rsidRPr="00175B2B" w:rsidRDefault="00856FEC" w:rsidP="00D62EAC">
      <w:pPr>
        <w:rPr>
          <w:lang w:val="en-CA"/>
        </w:rPr>
      </w:pPr>
    </w:p>
    <w:p w14:paraId="471E3543" w14:textId="77777777" w:rsidR="00D62EAC" w:rsidRPr="00175B2B" w:rsidRDefault="00D62EAC" w:rsidP="00D62EAC">
      <w:pPr>
        <w:rPr>
          <w:lang w:val="en-CA"/>
        </w:rPr>
      </w:pPr>
    </w:p>
    <w:p w14:paraId="40B3DD26" w14:textId="0830FA09" w:rsidR="00D62EAC" w:rsidRDefault="00856FEC" w:rsidP="00D62EAC">
      <w:pPr>
        <w:rPr>
          <w:lang w:val="en-CA"/>
        </w:rPr>
      </w:pPr>
      <w:r>
        <w:rPr>
          <w:noProof/>
          <w:lang w:val="en-CA"/>
          <w14:ligatures w14:val="standardContextual"/>
        </w:rPr>
        <w:lastRenderedPageBreak/>
        <w:drawing>
          <wp:inline distT="0" distB="0" distL="0" distR="0" wp14:anchorId="59F4EBB5" wp14:editId="2BFA0069">
            <wp:extent cx="6858000" cy="8874760"/>
            <wp:effectExtent l="0" t="0" r="0" b="0"/>
            <wp:docPr id="1116430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30988" name="Picture 1116430988"/>
                    <pic:cNvPicPr/>
                  </pic:nvPicPr>
                  <pic:blipFill>
                    <a:blip r:embed="rId18"/>
                    <a:stretch>
                      <a:fillRect/>
                    </a:stretch>
                  </pic:blipFill>
                  <pic:spPr>
                    <a:xfrm>
                      <a:off x="0" y="0"/>
                      <a:ext cx="6858000" cy="8874760"/>
                    </a:xfrm>
                    <a:prstGeom prst="rect">
                      <a:avLst/>
                    </a:prstGeom>
                  </pic:spPr>
                </pic:pic>
              </a:graphicData>
            </a:graphic>
          </wp:inline>
        </w:drawing>
      </w:r>
    </w:p>
    <w:p w14:paraId="3734AD40" w14:textId="77777777" w:rsidR="00856FEC" w:rsidRDefault="00856FEC" w:rsidP="00D62EAC">
      <w:pPr>
        <w:rPr>
          <w:lang w:val="en-CA"/>
        </w:rPr>
      </w:pPr>
    </w:p>
    <w:p w14:paraId="136604CF" w14:textId="02771EE2" w:rsidR="00856FEC" w:rsidRPr="00175B2B" w:rsidRDefault="00856FEC" w:rsidP="00D62EAC">
      <w:pPr>
        <w:rPr>
          <w:lang w:val="en-CA"/>
        </w:rPr>
      </w:pPr>
      <w:r>
        <w:rPr>
          <w:noProof/>
          <w:lang w:val="en-CA"/>
          <w14:ligatures w14:val="standardContextual"/>
        </w:rPr>
        <w:lastRenderedPageBreak/>
        <w:drawing>
          <wp:inline distT="0" distB="0" distL="0" distR="0" wp14:anchorId="2EE873FC" wp14:editId="765C3398">
            <wp:extent cx="6858000" cy="8874760"/>
            <wp:effectExtent l="0" t="0" r="0" b="0"/>
            <wp:docPr id="3000348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34823" name="Picture 300034823"/>
                    <pic:cNvPicPr/>
                  </pic:nvPicPr>
                  <pic:blipFill>
                    <a:blip r:embed="rId19"/>
                    <a:stretch>
                      <a:fillRect/>
                    </a:stretch>
                  </pic:blipFill>
                  <pic:spPr>
                    <a:xfrm>
                      <a:off x="0" y="0"/>
                      <a:ext cx="6858000" cy="8874760"/>
                    </a:xfrm>
                    <a:prstGeom prst="rect">
                      <a:avLst/>
                    </a:prstGeom>
                  </pic:spPr>
                </pic:pic>
              </a:graphicData>
            </a:graphic>
          </wp:inline>
        </w:drawing>
      </w:r>
    </w:p>
    <w:p w14:paraId="69E1C771" w14:textId="45685A21" w:rsidR="00D62EAC" w:rsidRDefault="00D62EAC" w:rsidP="00D62EAC">
      <w:pPr>
        <w:pStyle w:val="Heading1"/>
      </w:pPr>
      <w:bookmarkStart w:id="56" w:name="_Toc227618192"/>
      <w:r>
        <w:lastRenderedPageBreak/>
        <w:t>Bibliography</w:t>
      </w:r>
      <w:bookmarkEnd w:id="56"/>
    </w:p>
    <w:p w14:paraId="777C5DE8" w14:textId="46C0E1AF" w:rsidR="00D62EAC" w:rsidRPr="00D62EAC" w:rsidRDefault="00D62EAC" w:rsidP="00830A39">
      <w:pPr>
        <w:rPr>
          <w:lang w:val="en-CA"/>
        </w:rPr>
      </w:pPr>
      <w:r w:rsidRPr="00D62EAC">
        <w:rPr>
          <w:lang w:val="en-CA"/>
        </w:rPr>
        <w:t>[</w:t>
      </w:r>
      <w:r>
        <w:rPr>
          <w:lang w:val="en-CA"/>
        </w:rPr>
        <w:t>1</w:t>
      </w:r>
      <w:proofErr w:type="gramStart"/>
      <w:r w:rsidRPr="00D62EAC">
        <w:rPr>
          <w:lang w:val="en-CA"/>
        </w:rPr>
        <w:t>]  Bailard</w:t>
      </w:r>
      <w:proofErr w:type="gramEnd"/>
      <w:r w:rsidRPr="00D62EAC">
        <w:rPr>
          <w:lang w:val="en-CA"/>
        </w:rPr>
        <w:t>, T. E., Biehl, D. L., &amp; Kaiser, R. W. (1986). Personal Money Management (5th ed.). Science Research Associates.</w:t>
      </w:r>
    </w:p>
    <w:p w14:paraId="792B7282" w14:textId="180FFFC9" w:rsidR="00D62EAC" w:rsidRPr="00830A39" w:rsidRDefault="00D62EAC" w:rsidP="00830A39">
      <w:pPr>
        <w:rPr>
          <w:lang w:val="en-CA"/>
        </w:rPr>
      </w:pPr>
      <w:r w:rsidRPr="00D62EAC">
        <w:rPr>
          <w:lang w:val="en-CA"/>
        </w:rPr>
        <w:t>[</w:t>
      </w:r>
      <w:r>
        <w:rPr>
          <w:lang w:val="en-CA"/>
        </w:rPr>
        <w:t>2</w:t>
      </w:r>
      <w:proofErr w:type="gramStart"/>
      <w:r w:rsidRPr="00D62EAC">
        <w:rPr>
          <w:lang w:val="en-CA"/>
        </w:rPr>
        <w:t>]  CFA</w:t>
      </w:r>
      <w:proofErr w:type="gramEnd"/>
      <w:r w:rsidRPr="00D62EAC">
        <w:rPr>
          <w:lang w:val="en-CA"/>
        </w:rPr>
        <w:t xml:space="preserve"> Institute. (2022). CFA Program Curriculum — Private Wealth Management. </w:t>
      </w:r>
      <w:r w:rsidRPr="00830A39">
        <w:rPr>
          <w:lang w:val="en-CA"/>
        </w:rPr>
        <w:t>CFA Institute Publications.</w:t>
      </w:r>
    </w:p>
    <w:p w14:paraId="12D4CE5B" w14:textId="0B73B5C9" w:rsidR="00D62EAC" w:rsidRPr="00830A39" w:rsidRDefault="00D62EAC" w:rsidP="00830A39">
      <w:pPr>
        <w:rPr>
          <w:lang w:val="en-CA"/>
        </w:rPr>
      </w:pPr>
      <w:r w:rsidRPr="00830A39">
        <w:rPr>
          <w:lang w:val="en-CA"/>
        </w:rPr>
        <w:t>[</w:t>
      </w:r>
      <w:r w:rsidRPr="00830A39">
        <w:rPr>
          <w:lang w:val="en-CA"/>
        </w:rPr>
        <w:t>3</w:t>
      </w:r>
      <w:proofErr w:type="gramStart"/>
      <w:r w:rsidRPr="00830A39">
        <w:rPr>
          <w:lang w:val="en-CA"/>
        </w:rPr>
        <w:t>]  Markowitz</w:t>
      </w:r>
      <w:proofErr w:type="gramEnd"/>
      <w:r w:rsidRPr="00830A39">
        <w:rPr>
          <w:lang w:val="en-CA"/>
        </w:rPr>
        <w:t>, H. (1952). Portfolio Selection. Journal of Finance, 7(1), 77–91.</w:t>
      </w:r>
    </w:p>
    <w:p w14:paraId="15F66EA9" w14:textId="1107BB79" w:rsidR="00830A39" w:rsidRPr="00830A39" w:rsidRDefault="00830A39" w:rsidP="00830A39">
      <w:pPr>
        <w:rPr>
          <w:lang w:val="en-CA"/>
        </w:rPr>
      </w:pPr>
      <w:r w:rsidRPr="00830A39">
        <w:rPr>
          <w:lang w:val="en-CA"/>
        </w:rPr>
        <w:t>[</w:t>
      </w:r>
      <w:r>
        <w:rPr>
          <w:lang w:val="en-CA"/>
        </w:rPr>
        <w:t>4</w:t>
      </w:r>
      <w:proofErr w:type="gramStart"/>
      <w:r w:rsidRPr="00830A39">
        <w:rPr>
          <w:lang w:val="en-CA"/>
        </w:rPr>
        <w:t>]  BlackRock</w:t>
      </w:r>
      <w:proofErr w:type="gramEnd"/>
      <w:r w:rsidRPr="00830A39">
        <w:rPr>
          <w:lang w:val="en-CA"/>
        </w:rPr>
        <w:t>, Inc. (2026, April 15). iShares 20+ Year Treasury Bond ETF | TLT: Portfolio characteristics. BlackRock iShares. https://www.blackrock.com/us/financial-professionals/products/239454/ishares-20-year-treasury-bond-etf</w:t>
      </w:r>
    </w:p>
    <w:p w14:paraId="2A00032A" w14:textId="7D723B74" w:rsidR="00830A39" w:rsidRPr="00830A39" w:rsidRDefault="00830A39" w:rsidP="00830A39">
      <w:pPr>
        <w:rPr>
          <w:lang w:val="en-CA"/>
        </w:rPr>
      </w:pPr>
      <w:r w:rsidRPr="00830A39">
        <w:rPr>
          <w:lang w:val="en-CA"/>
        </w:rPr>
        <w:t>[</w:t>
      </w:r>
      <w:r>
        <w:rPr>
          <w:lang w:val="en-CA"/>
        </w:rPr>
        <w:t>5</w:t>
      </w:r>
      <w:proofErr w:type="gramStart"/>
      <w:r w:rsidRPr="00830A39">
        <w:rPr>
          <w:lang w:val="en-CA"/>
        </w:rPr>
        <w:t>]  Invesco</w:t>
      </w:r>
      <w:proofErr w:type="gramEnd"/>
      <w:r w:rsidRPr="00830A39">
        <w:rPr>
          <w:lang w:val="en-CA"/>
        </w:rPr>
        <w:t>. (2026). iShares MSCI ACWI ETF (ACWI): Fund Overview. Invesco.com.</w:t>
      </w:r>
    </w:p>
    <w:p w14:paraId="5D863DD2" w14:textId="52563E79" w:rsidR="00830A39" w:rsidRPr="00B15E8B" w:rsidRDefault="00830A39" w:rsidP="00830A39">
      <w:pPr>
        <w:rPr>
          <w:lang w:val="es-ES"/>
        </w:rPr>
      </w:pPr>
      <w:r w:rsidRPr="00830A39">
        <w:rPr>
          <w:lang w:val="en-CA"/>
        </w:rPr>
        <w:t>[</w:t>
      </w:r>
      <w:r>
        <w:rPr>
          <w:lang w:val="en-CA"/>
        </w:rPr>
        <w:t>6</w:t>
      </w:r>
      <w:proofErr w:type="gramStart"/>
      <w:r w:rsidRPr="00830A39">
        <w:rPr>
          <w:lang w:val="en-CA"/>
        </w:rPr>
        <w:t>]  Mueller</w:t>
      </w:r>
      <w:proofErr w:type="gramEnd"/>
      <w:r w:rsidRPr="00830A39">
        <w:rPr>
          <w:lang w:val="en-CA"/>
        </w:rPr>
        <w:t xml:space="preserve"> Industries, Inc. (2025). Annual Report FY</w:t>
      </w:r>
      <w:proofErr w:type="gramStart"/>
      <w:r w:rsidRPr="00830A39">
        <w:rPr>
          <w:lang w:val="en-CA"/>
        </w:rPr>
        <w:t>2025  -</w:t>
      </w:r>
      <w:proofErr w:type="gramEnd"/>
      <w:r w:rsidRPr="00830A39">
        <w:rPr>
          <w:lang w:val="en-CA"/>
        </w:rPr>
        <w:t xml:space="preserve">  Form 10-K. </w:t>
      </w:r>
      <w:r w:rsidRPr="00B15E8B">
        <w:rPr>
          <w:lang w:val="es-ES"/>
        </w:rPr>
        <w:t>SEC EDGAR. https://www.sec.gov/cgi-bin/browse-edgar?action=getcompany&amp;CIK=MLI</w:t>
      </w:r>
    </w:p>
    <w:p w14:paraId="01FE79C9" w14:textId="25643BAB" w:rsidR="00830A39" w:rsidRPr="00830A39" w:rsidRDefault="00830A39" w:rsidP="00830A39">
      <w:pPr>
        <w:rPr>
          <w:lang w:val="en-CA"/>
        </w:rPr>
      </w:pPr>
      <w:r w:rsidRPr="00830A39">
        <w:rPr>
          <w:lang w:val="en-CA"/>
        </w:rPr>
        <w:t>[</w:t>
      </w:r>
      <w:r>
        <w:rPr>
          <w:lang w:val="en-CA"/>
        </w:rPr>
        <w:t>7</w:t>
      </w:r>
      <w:proofErr w:type="gramStart"/>
      <w:r w:rsidRPr="00830A39">
        <w:rPr>
          <w:lang w:val="en-CA"/>
        </w:rPr>
        <w:t>]  Quanta</w:t>
      </w:r>
      <w:proofErr w:type="gramEnd"/>
      <w:r w:rsidRPr="00830A39">
        <w:rPr>
          <w:lang w:val="en-CA"/>
        </w:rPr>
        <w:t xml:space="preserve"> Services, Inc. (2025). Annual Report FY</w:t>
      </w:r>
      <w:proofErr w:type="gramStart"/>
      <w:r w:rsidRPr="00830A39">
        <w:rPr>
          <w:lang w:val="en-CA"/>
        </w:rPr>
        <w:t>2025  -</w:t>
      </w:r>
      <w:proofErr w:type="gramEnd"/>
      <w:r w:rsidRPr="00830A39">
        <w:rPr>
          <w:lang w:val="en-CA"/>
        </w:rPr>
        <w:t xml:space="preserve">  Form 10-K. SEC EDGAR.</w:t>
      </w:r>
    </w:p>
    <w:p w14:paraId="1A92B4FE" w14:textId="098C0EC8" w:rsidR="00830A39" w:rsidRPr="00830A39" w:rsidRDefault="00830A39" w:rsidP="00830A39">
      <w:pPr>
        <w:rPr>
          <w:lang w:val="en-CA"/>
        </w:rPr>
      </w:pPr>
      <w:r w:rsidRPr="00830A39">
        <w:rPr>
          <w:lang w:val="en-CA"/>
        </w:rPr>
        <w:t>[</w:t>
      </w:r>
      <w:r>
        <w:rPr>
          <w:lang w:val="en-CA"/>
        </w:rPr>
        <w:t>8</w:t>
      </w:r>
      <w:proofErr w:type="gramStart"/>
      <w:r w:rsidRPr="00830A39">
        <w:rPr>
          <w:lang w:val="en-CA"/>
        </w:rPr>
        <w:t>]  Eaton</w:t>
      </w:r>
      <w:proofErr w:type="gramEnd"/>
      <w:r w:rsidRPr="00830A39">
        <w:rPr>
          <w:lang w:val="en-CA"/>
        </w:rPr>
        <w:t xml:space="preserve"> Corporation PLC. (2025). Annual Report FY</w:t>
      </w:r>
      <w:proofErr w:type="gramStart"/>
      <w:r w:rsidRPr="00830A39">
        <w:rPr>
          <w:lang w:val="en-CA"/>
        </w:rPr>
        <w:t>2025  -</w:t>
      </w:r>
      <w:proofErr w:type="gramEnd"/>
      <w:r w:rsidRPr="00830A39">
        <w:rPr>
          <w:lang w:val="en-CA"/>
        </w:rPr>
        <w:t xml:space="preserve">  Form 10-K. SEC EDGAR.</w:t>
      </w:r>
    </w:p>
    <w:p w14:paraId="093624C2" w14:textId="280DF104" w:rsidR="00830A39" w:rsidRPr="00830A39" w:rsidRDefault="00830A39" w:rsidP="00830A39">
      <w:pPr>
        <w:rPr>
          <w:lang w:val="en-CA"/>
        </w:rPr>
      </w:pPr>
      <w:r w:rsidRPr="00830A39">
        <w:rPr>
          <w:lang w:val="en-CA"/>
        </w:rPr>
        <w:t>[</w:t>
      </w:r>
      <w:r>
        <w:rPr>
          <w:lang w:val="en-CA"/>
        </w:rPr>
        <w:t>9</w:t>
      </w:r>
      <w:proofErr w:type="gramStart"/>
      <w:r w:rsidRPr="00830A39">
        <w:rPr>
          <w:lang w:val="en-CA"/>
        </w:rPr>
        <w:t>]  American</w:t>
      </w:r>
      <w:proofErr w:type="gramEnd"/>
      <w:r w:rsidRPr="00830A39">
        <w:rPr>
          <w:lang w:val="en-CA"/>
        </w:rPr>
        <w:t xml:space="preserve"> Electric Power Company. (2025). Annual Report FY</w:t>
      </w:r>
      <w:proofErr w:type="gramStart"/>
      <w:r w:rsidRPr="00830A39">
        <w:rPr>
          <w:lang w:val="en-CA"/>
        </w:rPr>
        <w:t>2025  -</w:t>
      </w:r>
      <w:proofErr w:type="gramEnd"/>
      <w:r w:rsidRPr="00830A39">
        <w:rPr>
          <w:lang w:val="en-CA"/>
        </w:rPr>
        <w:t xml:space="preserve">  Form 10-K. SEC EDGAR.</w:t>
      </w:r>
    </w:p>
    <w:p w14:paraId="7D2CDE98" w14:textId="41F925B3" w:rsidR="00830A39" w:rsidRPr="00830A39" w:rsidRDefault="00830A39" w:rsidP="00830A39">
      <w:pPr>
        <w:rPr>
          <w:lang w:val="en-CA"/>
        </w:rPr>
      </w:pPr>
      <w:r w:rsidRPr="00830A39">
        <w:rPr>
          <w:lang w:val="en-CA"/>
        </w:rPr>
        <w:t>[</w:t>
      </w:r>
      <w:r>
        <w:rPr>
          <w:lang w:val="en-CA"/>
        </w:rPr>
        <w:t>10</w:t>
      </w:r>
      <w:proofErr w:type="gramStart"/>
      <w:r w:rsidRPr="00830A39">
        <w:rPr>
          <w:lang w:val="en-CA"/>
        </w:rPr>
        <w:t>]  Schneider</w:t>
      </w:r>
      <w:proofErr w:type="gramEnd"/>
      <w:r w:rsidRPr="00830A39">
        <w:rPr>
          <w:lang w:val="en-CA"/>
        </w:rPr>
        <w:t xml:space="preserve"> Electric SE. (2025). FY2025 Annual Report &amp; Sustainability Report. Schneider-Electric.com.</w:t>
      </w:r>
    </w:p>
    <w:p w14:paraId="3D646F4B" w14:textId="6773E3E4" w:rsidR="00830A39" w:rsidRPr="00830A39" w:rsidRDefault="00830A39" w:rsidP="00830A39">
      <w:pPr>
        <w:rPr>
          <w:lang w:val="en-CA"/>
        </w:rPr>
      </w:pPr>
      <w:r w:rsidRPr="00830A39">
        <w:rPr>
          <w:lang w:val="en-CA"/>
        </w:rPr>
        <w:t>[</w:t>
      </w:r>
      <w:r>
        <w:rPr>
          <w:lang w:val="en-CA"/>
        </w:rPr>
        <w:t>11</w:t>
      </w:r>
      <w:proofErr w:type="gramStart"/>
      <w:r w:rsidRPr="00830A39">
        <w:rPr>
          <w:lang w:val="en-CA"/>
        </w:rPr>
        <w:t>]  Ameren</w:t>
      </w:r>
      <w:proofErr w:type="gramEnd"/>
      <w:r w:rsidRPr="00830A39">
        <w:rPr>
          <w:lang w:val="en-CA"/>
        </w:rPr>
        <w:t xml:space="preserve"> Corporation. (2025). Annual Report FY</w:t>
      </w:r>
      <w:proofErr w:type="gramStart"/>
      <w:r w:rsidRPr="00830A39">
        <w:rPr>
          <w:lang w:val="en-CA"/>
        </w:rPr>
        <w:t>2025  -</w:t>
      </w:r>
      <w:proofErr w:type="gramEnd"/>
      <w:r w:rsidRPr="00830A39">
        <w:rPr>
          <w:lang w:val="en-CA"/>
        </w:rPr>
        <w:t xml:space="preserve">  Form 10-K. SEC EDGAR.</w:t>
      </w:r>
    </w:p>
    <w:p w14:paraId="510E76AC" w14:textId="489C4CAF" w:rsidR="00830A39" w:rsidRPr="00830A39" w:rsidRDefault="00830A39" w:rsidP="00830A39">
      <w:pPr>
        <w:rPr>
          <w:lang w:val="en-CA"/>
        </w:rPr>
      </w:pPr>
      <w:r w:rsidRPr="00830A39">
        <w:rPr>
          <w:lang w:val="en-CA"/>
        </w:rPr>
        <w:t>[</w:t>
      </w:r>
      <w:r>
        <w:rPr>
          <w:lang w:val="en-CA"/>
        </w:rPr>
        <w:t>12</w:t>
      </w:r>
      <w:proofErr w:type="gramStart"/>
      <w:r w:rsidRPr="00830A39">
        <w:rPr>
          <w:lang w:val="en-CA"/>
        </w:rPr>
        <w:t xml:space="preserve">]  </w:t>
      </w:r>
      <w:proofErr w:type="spellStart"/>
      <w:r w:rsidRPr="00830A39">
        <w:rPr>
          <w:lang w:val="en-CA"/>
        </w:rPr>
        <w:t>nVent</w:t>
      </w:r>
      <w:proofErr w:type="spellEnd"/>
      <w:proofErr w:type="gramEnd"/>
      <w:r w:rsidRPr="00830A39">
        <w:rPr>
          <w:lang w:val="en-CA"/>
        </w:rPr>
        <w:t xml:space="preserve"> Electric, Inc. (2025). Annual Report FY</w:t>
      </w:r>
      <w:proofErr w:type="gramStart"/>
      <w:r w:rsidRPr="00830A39">
        <w:rPr>
          <w:lang w:val="en-CA"/>
        </w:rPr>
        <w:t>2025  -</w:t>
      </w:r>
      <w:proofErr w:type="gramEnd"/>
      <w:r w:rsidRPr="00830A39">
        <w:rPr>
          <w:lang w:val="en-CA"/>
        </w:rPr>
        <w:t xml:space="preserve">  Form 10-K. SEC EDGAR.</w:t>
      </w:r>
    </w:p>
    <w:p w14:paraId="32EB89F0" w14:textId="6186B513" w:rsidR="00830A39" w:rsidRPr="00830A39" w:rsidRDefault="00830A39" w:rsidP="00830A39">
      <w:pPr>
        <w:rPr>
          <w:lang w:val="en-CA"/>
        </w:rPr>
      </w:pPr>
      <w:r w:rsidRPr="00830A39">
        <w:rPr>
          <w:lang w:val="en-CA"/>
        </w:rPr>
        <w:t>[1</w:t>
      </w:r>
      <w:r>
        <w:rPr>
          <w:lang w:val="en-CA"/>
        </w:rPr>
        <w:t>3</w:t>
      </w:r>
      <w:proofErr w:type="gramStart"/>
      <w:r w:rsidRPr="00830A39">
        <w:rPr>
          <w:lang w:val="en-CA"/>
        </w:rPr>
        <w:t>]  Hubbell</w:t>
      </w:r>
      <w:proofErr w:type="gramEnd"/>
      <w:r w:rsidRPr="00830A39">
        <w:rPr>
          <w:lang w:val="en-CA"/>
        </w:rPr>
        <w:t xml:space="preserve"> Incorporated. (2025). Annual Report FY2025. Hubbell plc.</w:t>
      </w:r>
    </w:p>
    <w:p w14:paraId="111793C8" w14:textId="5563550F" w:rsidR="00830A39" w:rsidRPr="00830A39" w:rsidRDefault="00830A39" w:rsidP="00830A39">
      <w:pPr>
        <w:rPr>
          <w:lang w:val="en-CA"/>
        </w:rPr>
      </w:pPr>
      <w:r w:rsidRPr="00830A39">
        <w:rPr>
          <w:lang w:val="en-CA"/>
        </w:rPr>
        <w:t>[1</w:t>
      </w:r>
      <w:r>
        <w:rPr>
          <w:lang w:val="en-CA"/>
        </w:rPr>
        <w:t>4</w:t>
      </w:r>
      <w:proofErr w:type="gramStart"/>
      <w:r w:rsidRPr="00830A39">
        <w:rPr>
          <w:lang w:val="en-CA"/>
        </w:rPr>
        <w:t>]  Bodie</w:t>
      </w:r>
      <w:proofErr w:type="gramEnd"/>
      <w:r w:rsidRPr="00830A39">
        <w:rPr>
          <w:lang w:val="en-CA"/>
        </w:rPr>
        <w:t xml:space="preserve">, Z., Kane, A., &amp; Marcus, A. J. (2023). Investments (13th ed.). McGraw-Hill. [Treynor-Black Model, Single Index Model, Capital Allocation </w:t>
      </w:r>
      <w:proofErr w:type="gramStart"/>
      <w:r w:rsidRPr="00830A39">
        <w:rPr>
          <w:lang w:val="en-CA"/>
        </w:rPr>
        <w:t>Line  -</w:t>
      </w:r>
      <w:proofErr w:type="gramEnd"/>
      <w:r w:rsidRPr="00830A39">
        <w:rPr>
          <w:lang w:val="en-CA"/>
        </w:rPr>
        <w:t xml:space="preserve">  Chapters 8, 27]</w:t>
      </w:r>
    </w:p>
    <w:p w14:paraId="508D2018" w14:textId="77C6C909" w:rsidR="00830A39" w:rsidRPr="00830A39" w:rsidRDefault="00830A39" w:rsidP="00830A39">
      <w:pPr>
        <w:rPr>
          <w:lang w:val="en-CA"/>
        </w:rPr>
      </w:pPr>
      <w:r w:rsidRPr="00830A39">
        <w:rPr>
          <w:lang w:val="en-CA"/>
        </w:rPr>
        <w:t>[1</w:t>
      </w:r>
      <w:r>
        <w:rPr>
          <w:lang w:val="en-CA"/>
        </w:rPr>
        <w:t>5</w:t>
      </w:r>
      <w:proofErr w:type="gramStart"/>
      <w:r w:rsidRPr="00830A39">
        <w:rPr>
          <w:lang w:val="en-CA"/>
        </w:rPr>
        <w:t>]  Treynor</w:t>
      </w:r>
      <w:proofErr w:type="gramEnd"/>
      <w:r w:rsidRPr="00830A39">
        <w:rPr>
          <w:lang w:val="en-CA"/>
        </w:rPr>
        <w:t>, J. L., &amp; Black, F. (1973). How to use security analysis to improve portfolio selection. Journal of Business, 46(1), 66-86.</w:t>
      </w:r>
    </w:p>
    <w:p w14:paraId="51151AA6" w14:textId="5520D869" w:rsidR="00830A39" w:rsidRPr="00830A39" w:rsidRDefault="00830A39" w:rsidP="00830A39">
      <w:pPr>
        <w:rPr>
          <w:lang w:val="en-CA"/>
        </w:rPr>
      </w:pPr>
      <w:r w:rsidRPr="00830A39">
        <w:rPr>
          <w:lang w:val="en-CA"/>
        </w:rPr>
        <w:t>[1</w:t>
      </w:r>
      <w:r>
        <w:rPr>
          <w:lang w:val="en-CA"/>
        </w:rPr>
        <w:t>6</w:t>
      </w:r>
      <w:proofErr w:type="gramStart"/>
      <w:r w:rsidRPr="00830A39">
        <w:rPr>
          <w:lang w:val="en-CA"/>
        </w:rPr>
        <w:t>]  U.S.</w:t>
      </w:r>
      <w:proofErr w:type="gramEnd"/>
      <w:r w:rsidRPr="00830A39">
        <w:rPr>
          <w:lang w:val="en-CA"/>
        </w:rPr>
        <w:t xml:space="preserve"> Department of Energy. (2024). 2024 United States Data Center Energy Usage Report. Energy.gov.</w:t>
      </w:r>
    </w:p>
    <w:p w14:paraId="31AC3BA8" w14:textId="718127E1" w:rsidR="00830A39" w:rsidRPr="00830A39" w:rsidRDefault="00830A39" w:rsidP="00830A39">
      <w:pPr>
        <w:rPr>
          <w:lang w:val="en-CA"/>
        </w:rPr>
      </w:pPr>
      <w:r w:rsidRPr="00830A39">
        <w:rPr>
          <w:lang w:val="en-CA"/>
        </w:rPr>
        <w:t>[1</w:t>
      </w:r>
      <w:r>
        <w:rPr>
          <w:lang w:val="en-CA"/>
        </w:rPr>
        <w:t>7</w:t>
      </w:r>
      <w:proofErr w:type="gramStart"/>
      <w:r w:rsidRPr="00830A39">
        <w:rPr>
          <w:lang w:val="en-CA"/>
        </w:rPr>
        <w:t>]  International</w:t>
      </w:r>
      <w:proofErr w:type="gramEnd"/>
      <w:r w:rsidRPr="00830A39">
        <w:rPr>
          <w:lang w:val="en-CA"/>
        </w:rPr>
        <w:t xml:space="preserve"> Energy Agency. (2026). Electricity 2026: Analysis and </w:t>
      </w:r>
      <w:proofErr w:type="gramStart"/>
      <w:r w:rsidRPr="00830A39">
        <w:rPr>
          <w:lang w:val="en-CA"/>
        </w:rPr>
        <w:t>Forecast</w:t>
      </w:r>
      <w:proofErr w:type="gramEnd"/>
      <w:r w:rsidRPr="00830A39">
        <w:rPr>
          <w:lang w:val="en-CA"/>
        </w:rPr>
        <w:t xml:space="preserve"> to 2030. IEA.</w:t>
      </w:r>
    </w:p>
    <w:p w14:paraId="37795E58" w14:textId="79F0BB74" w:rsidR="00830A39" w:rsidRPr="00830A39" w:rsidRDefault="00830A39" w:rsidP="00830A39">
      <w:pPr>
        <w:rPr>
          <w:lang w:val="en-CA"/>
        </w:rPr>
      </w:pPr>
      <w:r w:rsidRPr="00830A39">
        <w:rPr>
          <w:lang w:val="en-CA"/>
        </w:rPr>
        <w:t>[1</w:t>
      </w:r>
      <w:r>
        <w:rPr>
          <w:lang w:val="en-CA"/>
        </w:rPr>
        <w:t>8</w:t>
      </w:r>
      <w:proofErr w:type="gramStart"/>
      <w:r w:rsidRPr="00830A39">
        <w:rPr>
          <w:lang w:val="en-CA"/>
        </w:rPr>
        <w:t>]  MSCI</w:t>
      </w:r>
      <w:proofErr w:type="gramEnd"/>
      <w:r w:rsidRPr="00830A39">
        <w:rPr>
          <w:lang w:val="en-CA"/>
        </w:rPr>
        <w:t xml:space="preserve"> Inc. (2026). ESG </w:t>
      </w:r>
      <w:proofErr w:type="gramStart"/>
      <w:r w:rsidRPr="00830A39">
        <w:rPr>
          <w:lang w:val="en-CA"/>
        </w:rPr>
        <w:t>Ratings  -</w:t>
      </w:r>
      <w:proofErr w:type="gramEnd"/>
      <w:r w:rsidRPr="00830A39">
        <w:rPr>
          <w:lang w:val="en-CA"/>
        </w:rPr>
        <w:t xml:space="preserve">  ACWI Universe Securities. MSCI ESG Research. https://www.msci.com/esg-ratings</w:t>
      </w:r>
    </w:p>
    <w:p w14:paraId="4625264B" w14:textId="7587DCA4" w:rsidR="00830A39" w:rsidRDefault="00830A39" w:rsidP="00830A39">
      <w:r w:rsidRPr="00830A39">
        <w:rPr>
          <w:lang w:val="en-CA"/>
        </w:rPr>
        <w:t>[1</w:t>
      </w:r>
      <w:r>
        <w:rPr>
          <w:lang w:val="en-CA"/>
        </w:rPr>
        <w:t>9</w:t>
      </w:r>
      <w:proofErr w:type="gramStart"/>
      <w:r w:rsidRPr="00830A39">
        <w:rPr>
          <w:lang w:val="en-CA"/>
        </w:rPr>
        <w:t>]  Bloomberg</w:t>
      </w:r>
      <w:proofErr w:type="gramEnd"/>
      <w:r w:rsidRPr="00830A39">
        <w:rPr>
          <w:lang w:val="en-CA"/>
        </w:rPr>
        <w:t xml:space="preserve"> L.P. (2026, April 15). Consensus analyst price </w:t>
      </w:r>
      <w:proofErr w:type="gramStart"/>
      <w:r w:rsidRPr="00830A39">
        <w:rPr>
          <w:lang w:val="en-CA"/>
        </w:rPr>
        <w:t>targets  -</w:t>
      </w:r>
      <w:proofErr w:type="gramEnd"/>
      <w:r w:rsidRPr="00830A39">
        <w:rPr>
          <w:lang w:val="en-CA"/>
        </w:rPr>
        <w:t xml:space="preserve">  ACWI Universe. </w:t>
      </w:r>
      <w:r>
        <w:t>Bloomberg Terminal.</w:t>
      </w:r>
    </w:p>
    <w:p w14:paraId="2B6FB4EB" w14:textId="77777777" w:rsidR="00D62EAC" w:rsidRPr="00013B8D" w:rsidRDefault="00D62EAC" w:rsidP="00D62EAC"/>
    <w:sectPr w:rsidR="00D62EAC" w:rsidRPr="00013B8D" w:rsidSect="0067358E">
      <w:headerReference w:type="first" r:id="rId20"/>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D272" w14:textId="77777777" w:rsidR="003D67FA" w:rsidRDefault="003D67FA" w:rsidP="00F10673">
      <w:r>
        <w:separator/>
      </w:r>
    </w:p>
  </w:endnote>
  <w:endnote w:type="continuationSeparator" w:id="0">
    <w:p w14:paraId="10647F43" w14:textId="77777777" w:rsidR="003D67FA" w:rsidRDefault="003D67FA" w:rsidP="00F1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6515" w14:textId="77777777" w:rsidR="003D67FA" w:rsidRDefault="003D67FA" w:rsidP="00F10673">
      <w:r>
        <w:separator/>
      </w:r>
    </w:p>
  </w:footnote>
  <w:footnote w:type="continuationSeparator" w:id="0">
    <w:p w14:paraId="2CFA25FD" w14:textId="77777777" w:rsidR="003D67FA" w:rsidRDefault="003D67FA" w:rsidP="00F10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C334" w14:textId="77777777" w:rsidR="004128AC" w:rsidRDefault="004128AC" w:rsidP="004128AC">
    <w:pPr>
      <w:pStyle w:val="Header"/>
      <w:jc w:val="center"/>
    </w:pPr>
    <w:r>
      <w:rPr>
        <w:noProof/>
        <w14:ligatures w14:val="standardContextual"/>
      </w:rPr>
      <w:drawing>
        <wp:inline distT="0" distB="0" distL="0" distR="0" wp14:anchorId="26E0AAE4" wp14:editId="1408B42A">
          <wp:extent cx="2262311" cy="799465"/>
          <wp:effectExtent l="0" t="0" r="0" b="635"/>
          <wp:docPr id="17875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83377" name="Picture 298583377"/>
                  <pic:cNvPicPr/>
                </pic:nvPicPr>
                <pic:blipFill rotWithShape="1">
                  <a:blip r:embed="rId1">
                    <a:extLst>
                      <a:ext uri="{28A0092B-C50C-407E-A947-70E740481C1C}">
                        <a14:useLocalDpi xmlns:a14="http://schemas.microsoft.com/office/drawing/2010/main" val="0"/>
                      </a:ext>
                    </a:extLst>
                  </a:blip>
                  <a:srcRect t="17370" b="19666"/>
                  <a:stretch>
                    <a:fillRect/>
                  </a:stretch>
                </pic:blipFill>
                <pic:spPr bwMode="auto">
                  <a:xfrm>
                    <a:off x="0" y="0"/>
                    <a:ext cx="2352843" cy="83145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90C1D"/>
    <w:multiLevelType w:val="hybridMultilevel"/>
    <w:tmpl w:val="ABB2461C"/>
    <w:lvl w:ilvl="0" w:tplc="CA20CA12">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F7AD8"/>
    <w:multiLevelType w:val="hybridMultilevel"/>
    <w:tmpl w:val="74FC434C"/>
    <w:lvl w:ilvl="0" w:tplc="16B68A9E">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3D434D"/>
    <w:multiLevelType w:val="hybridMultilevel"/>
    <w:tmpl w:val="2D5803DA"/>
    <w:lvl w:ilvl="0" w:tplc="629C672A">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936CD6"/>
    <w:multiLevelType w:val="multilevel"/>
    <w:tmpl w:val="2BF844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B27FEF"/>
    <w:multiLevelType w:val="hybridMultilevel"/>
    <w:tmpl w:val="054E04EE"/>
    <w:lvl w:ilvl="0" w:tplc="E3CC9B02">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505F62"/>
    <w:multiLevelType w:val="hybridMultilevel"/>
    <w:tmpl w:val="A91ABCCA"/>
    <w:lvl w:ilvl="0" w:tplc="66C4D966">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BF624C"/>
    <w:multiLevelType w:val="hybridMultilevel"/>
    <w:tmpl w:val="3D066A40"/>
    <w:lvl w:ilvl="0" w:tplc="1264E25A">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C55565"/>
    <w:multiLevelType w:val="hybridMultilevel"/>
    <w:tmpl w:val="41BC56D8"/>
    <w:lvl w:ilvl="0" w:tplc="94ACFCD6">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D936AB"/>
    <w:multiLevelType w:val="hybridMultilevel"/>
    <w:tmpl w:val="E006C292"/>
    <w:lvl w:ilvl="0" w:tplc="FB8A7812">
      <w:start w:val="1"/>
      <w:numFmt w:val="bullet"/>
      <w:lvlText w:val="●"/>
      <w:lvlJc w:val="left"/>
      <w:pPr>
        <w:ind w:left="720" w:hanging="360"/>
      </w:pPr>
    </w:lvl>
    <w:lvl w:ilvl="1" w:tplc="CE72734A">
      <w:start w:val="1"/>
      <w:numFmt w:val="bullet"/>
      <w:lvlText w:val="○"/>
      <w:lvlJc w:val="left"/>
      <w:pPr>
        <w:ind w:left="1440" w:hanging="360"/>
      </w:pPr>
    </w:lvl>
    <w:lvl w:ilvl="2" w:tplc="7A78B894">
      <w:start w:val="1"/>
      <w:numFmt w:val="bullet"/>
      <w:lvlText w:val="■"/>
      <w:lvlJc w:val="left"/>
      <w:pPr>
        <w:ind w:left="2160" w:hanging="360"/>
      </w:pPr>
    </w:lvl>
    <w:lvl w:ilvl="3" w:tplc="A0DEF712">
      <w:start w:val="1"/>
      <w:numFmt w:val="bullet"/>
      <w:lvlText w:val="●"/>
      <w:lvlJc w:val="left"/>
      <w:pPr>
        <w:ind w:left="2880" w:hanging="360"/>
      </w:pPr>
    </w:lvl>
    <w:lvl w:ilvl="4" w:tplc="F972315C">
      <w:start w:val="1"/>
      <w:numFmt w:val="bullet"/>
      <w:lvlText w:val="○"/>
      <w:lvlJc w:val="left"/>
      <w:pPr>
        <w:ind w:left="3600" w:hanging="360"/>
      </w:pPr>
    </w:lvl>
    <w:lvl w:ilvl="5" w:tplc="F06E3100">
      <w:start w:val="1"/>
      <w:numFmt w:val="bullet"/>
      <w:lvlText w:val="■"/>
      <w:lvlJc w:val="left"/>
      <w:pPr>
        <w:ind w:left="4320" w:hanging="360"/>
      </w:pPr>
    </w:lvl>
    <w:lvl w:ilvl="6" w:tplc="5C4AF46C">
      <w:start w:val="1"/>
      <w:numFmt w:val="bullet"/>
      <w:lvlText w:val="●"/>
      <w:lvlJc w:val="left"/>
      <w:pPr>
        <w:ind w:left="5040" w:hanging="360"/>
      </w:pPr>
    </w:lvl>
    <w:lvl w:ilvl="7" w:tplc="5AE69B8A">
      <w:start w:val="1"/>
      <w:numFmt w:val="bullet"/>
      <w:lvlText w:val="●"/>
      <w:lvlJc w:val="left"/>
      <w:pPr>
        <w:ind w:left="5760" w:hanging="360"/>
      </w:pPr>
    </w:lvl>
    <w:lvl w:ilvl="8" w:tplc="9CB44D80">
      <w:start w:val="1"/>
      <w:numFmt w:val="bullet"/>
      <w:lvlText w:val="●"/>
      <w:lvlJc w:val="left"/>
      <w:pPr>
        <w:ind w:left="6480" w:hanging="360"/>
      </w:pPr>
    </w:lvl>
  </w:abstractNum>
  <w:num w:numId="1" w16cid:durableId="951598073">
    <w:abstractNumId w:val="3"/>
  </w:num>
  <w:num w:numId="2" w16cid:durableId="1563756910">
    <w:abstractNumId w:val="4"/>
  </w:num>
  <w:num w:numId="3" w16cid:durableId="1463183861">
    <w:abstractNumId w:val="2"/>
  </w:num>
  <w:num w:numId="4" w16cid:durableId="336419890">
    <w:abstractNumId w:val="5"/>
  </w:num>
  <w:num w:numId="5" w16cid:durableId="1146706211">
    <w:abstractNumId w:val="7"/>
  </w:num>
  <w:num w:numId="6" w16cid:durableId="1049916205">
    <w:abstractNumId w:val="0"/>
  </w:num>
  <w:num w:numId="7" w16cid:durableId="1083836105">
    <w:abstractNumId w:val="1"/>
  </w:num>
  <w:num w:numId="8" w16cid:durableId="1384330156">
    <w:abstractNumId w:val="6"/>
  </w:num>
  <w:num w:numId="9" w16cid:durableId="751774919">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35"/>
    <w:rsid w:val="00013B8D"/>
    <w:rsid w:val="00062122"/>
    <w:rsid w:val="000A5436"/>
    <w:rsid w:val="000C1E17"/>
    <w:rsid w:val="000D69D8"/>
    <w:rsid w:val="000F1BB2"/>
    <w:rsid w:val="000F72B7"/>
    <w:rsid w:val="00174FDE"/>
    <w:rsid w:val="00175B2B"/>
    <w:rsid w:val="001A0658"/>
    <w:rsid w:val="001A198A"/>
    <w:rsid w:val="001E2CA9"/>
    <w:rsid w:val="00204100"/>
    <w:rsid w:val="002308E8"/>
    <w:rsid w:val="002D76B3"/>
    <w:rsid w:val="002E7078"/>
    <w:rsid w:val="003118CE"/>
    <w:rsid w:val="0031551F"/>
    <w:rsid w:val="0039544A"/>
    <w:rsid w:val="003D67FA"/>
    <w:rsid w:val="003F20A3"/>
    <w:rsid w:val="0040102C"/>
    <w:rsid w:val="004128AC"/>
    <w:rsid w:val="00416C21"/>
    <w:rsid w:val="00445B8D"/>
    <w:rsid w:val="00453915"/>
    <w:rsid w:val="004E15CB"/>
    <w:rsid w:val="005058ED"/>
    <w:rsid w:val="0057571E"/>
    <w:rsid w:val="00593F91"/>
    <w:rsid w:val="005C4523"/>
    <w:rsid w:val="00617C68"/>
    <w:rsid w:val="0067358E"/>
    <w:rsid w:val="006D17F0"/>
    <w:rsid w:val="00756011"/>
    <w:rsid w:val="00763423"/>
    <w:rsid w:val="007A27CE"/>
    <w:rsid w:val="007D4E4F"/>
    <w:rsid w:val="00824D0A"/>
    <w:rsid w:val="00826975"/>
    <w:rsid w:val="00830A39"/>
    <w:rsid w:val="00845C5A"/>
    <w:rsid w:val="00854668"/>
    <w:rsid w:val="00856FEC"/>
    <w:rsid w:val="00862EF9"/>
    <w:rsid w:val="008971E4"/>
    <w:rsid w:val="008A46CF"/>
    <w:rsid w:val="008A6943"/>
    <w:rsid w:val="008C00E0"/>
    <w:rsid w:val="009055C4"/>
    <w:rsid w:val="00921D4F"/>
    <w:rsid w:val="00940208"/>
    <w:rsid w:val="00946D3C"/>
    <w:rsid w:val="00962141"/>
    <w:rsid w:val="00974DCA"/>
    <w:rsid w:val="009909BF"/>
    <w:rsid w:val="009B37EA"/>
    <w:rsid w:val="00A03C0F"/>
    <w:rsid w:val="00A15738"/>
    <w:rsid w:val="00A25CFF"/>
    <w:rsid w:val="00A3461F"/>
    <w:rsid w:val="00A7681A"/>
    <w:rsid w:val="00AA2D7E"/>
    <w:rsid w:val="00AA467D"/>
    <w:rsid w:val="00AF21E6"/>
    <w:rsid w:val="00AF3D95"/>
    <w:rsid w:val="00B02475"/>
    <w:rsid w:val="00B21399"/>
    <w:rsid w:val="00B25185"/>
    <w:rsid w:val="00BB2DC3"/>
    <w:rsid w:val="00C72276"/>
    <w:rsid w:val="00D042FB"/>
    <w:rsid w:val="00D101AE"/>
    <w:rsid w:val="00D308A4"/>
    <w:rsid w:val="00D57E51"/>
    <w:rsid w:val="00D62EAC"/>
    <w:rsid w:val="00D644C9"/>
    <w:rsid w:val="00D96135"/>
    <w:rsid w:val="00DA0053"/>
    <w:rsid w:val="00DD4ABB"/>
    <w:rsid w:val="00E3495B"/>
    <w:rsid w:val="00E369CA"/>
    <w:rsid w:val="00E437E9"/>
    <w:rsid w:val="00E5370F"/>
    <w:rsid w:val="00E75215"/>
    <w:rsid w:val="00EA664F"/>
    <w:rsid w:val="00EB3E11"/>
    <w:rsid w:val="00F10673"/>
    <w:rsid w:val="00F20633"/>
    <w:rsid w:val="00F31E96"/>
    <w:rsid w:val="00F53C2E"/>
    <w:rsid w:val="00F7721A"/>
    <w:rsid w:val="00F87619"/>
    <w:rsid w:val="00FB4F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4E448"/>
  <w15:chartTrackingRefBased/>
  <w15:docId w15:val="{083371CB-055C-B54F-903E-1401C835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70F"/>
    <w:pPr>
      <w:spacing w:after="0" w:line="240" w:lineRule="auto"/>
      <w:jc w:val="both"/>
    </w:pPr>
    <w:rPr>
      <w:rFonts w:ascii="Times New Roman" w:eastAsia="Cambria" w:hAnsi="Times New Roman" w:cs="Times New Roman"/>
      <w:kern w:val="0"/>
      <w:lang w:val="fr-CA"/>
      <w14:ligatures w14:val="none"/>
    </w:rPr>
  </w:style>
  <w:style w:type="paragraph" w:styleId="Heading1">
    <w:name w:val="heading 1"/>
    <w:link w:val="Heading1Char"/>
    <w:uiPriority w:val="9"/>
    <w:qFormat/>
    <w:rsid w:val="00974DCA"/>
    <w:pPr>
      <w:keepNext/>
      <w:keepLines/>
      <w:spacing w:before="360" w:after="80"/>
      <w:outlineLvl w:val="0"/>
    </w:pPr>
    <w:rPr>
      <w:rFonts w:ascii="Times New Roman" w:eastAsiaTheme="majorEastAsia" w:hAnsi="Times New Roman" w:cstheme="majorBidi"/>
      <w:b/>
      <w:color w:val="0F4761" w:themeColor="accent1" w:themeShade="BF"/>
      <w:sz w:val="36"/>
      <w:szCs w:val="40"/>
    </w:rPr>
  </w:style>
  <w:style w:type="paragraph" w:styleId="Heading2">
    <w:name w:val="heading 2"/>
    <w:aliases w:val="UnderHeading"/>
    <w:next w:val="Normal"/>
    <w:link w:val="Heading2Char"/>
    <w:uiPriority w:val="9"/>
    <w:unhideWhenUsed/>
    <w:qFormat/>
    <w:rsid w:val="00D96135"/>
    <w:pPr>
      <w:keepNext/>
      <w:keepLines/>
      <w:spacing w:before="160" w:after="80"/>
      <w:outlineLvl w:val="1"/>
    </w:pPr>
    <w:rPr>
      <w:rFonts w:ascii="Times New Roman" w:eastAsiaTheme="majorEastAsia" w:hAnsi="Times New Roman" w:cstheme="majorBidi"/>
      <w:b/>
      <w:i/>
      <w:color w:val="0F4761" w:themeColor="accent1" w:themeShade="BF"/>
      <w:sz w:val="20"/>
      <w:szCs w:val="32"/>
    </w:rPr>
  </w:style>
  <w:style w:type="paragraph" w:styleId="Heading3">
    <w:name w:val="heading 3"/>
    <w:aliases w:val="Heading 2."/>
    <w:next w:val="Normal"/>
    <w:link w:val="Heading3Char"/>
    <w:uiPriority w:val="9"/>
    <w:unhideWhenUsed/>
    <w:qFormat/>
    <w:rsid w:val="00E5370F"/>
    <w:pPr>
      <w:keepNext/>
      <w:keepLines/>
      <w:spacing w:before="160" w:after="80"/>
      <w:jc w:val="both"/>
      <w:outlineLvl w:val="2"/>
    </w:pPr>
    <w:rPr>
      <w:rFonts w:ascii="Times New Roman" w:eastAsiaTheme="majorEastAsia" w:hAnsi="Times New Roman" w:cstheme="majorBidi"/>
      <w:b/>
      <w:color w:val="215E99" w:themeColor="text2" w:themeTint="BF"/>
      <w:sz w:val="28"/>
      <w:szCs w:val="28"/>
    </w:rPr>
  </w:style>
  <w:style w:type="paragraph" w:styleId="Heading4">
    <w:name w:val="heading 4"/>
    <w:basedOn w:val="Normal"/>
    <w:next w:val="Normal"/>
    <w:link w:val="Heading4Char"/>
    <w:uiPriority w:val="9"/>
    <w:unhideWhenUsed/>
    <w:qFormat/>
    <w:rsid w:val="00AF3D95"/>
    <w:pPr>
      <w:keepNext/>
      <w:keepLines/>
      <w:spacing w:before="80" w:after="40" w:line="278" w:lineRule="auto"/>
      <w:outlineLvl w:val="3"/>
    </w:pPr>
    <w:rPr>
      <w:rFonts w:eastAsiaTheme="majorEastAsia" w:cstheme="majorBidi"/>
      <w:b/>
      <w:iCs/>
      <w:color w:val="4C94D8" w:themeColor="text2" w:themeTint="80"/>
      <w:kern w:val="2"/>
      <w:lang w:val="en-CA"/>
      <w14:ligatures w14:val="standardContextual"/>
    </w:rPr>
  </w:style>
  <w:style w:type="paragraph" w:styleId="Heading5">
    <w:name w:val="heading 5"/>
    <w:basedOn w:val="Normal"/>
    <w:next w:val="Normal"/>
    <w:link w:val="Heading5Char"/>
    <w:uiPriority w:val="9"/>
    <w:semiHidden/>
    <w:unhideWhenUsed/>
    <w:qFormat/>
    <w:rsid w:val="00F10673"/>
    <w:pPr>
      <w:keepNext/>
      <w:keepLines/>
      <w:spacing w:before="80" w:after="40" w:line="278" w:lineRule="auto"/>
      <w:outlineLvl w:val="4"/>
    </w:pPr>
    <w:rPr>
      <w:rFonts w:asciiTheme="minorHAnsi" w:eastAsiaTheme="majorEastAsia" w:hAnsiTheme="minorHAnsi"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F10673"/>
    <w:pPr>
      <w:keepNext/>
      <w:keepLines/>
      <w:spacing w:before="40" w:line="278" w:lineRule="auto"/>
      <w:outlineLvl w:val="5"/>
    </w:pPr>
    <w:rPr>
      <w:rFonts w:asciiTheme="minorHAnsi" w:eastAsiaTheme="majorEastAsia" w:hAnsiTheme="minorHAnsi"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F10673"/>
    <w:pPr>
      <w:keepNext/>
      <w:keepLines/>
      <w:spacing w:before="40" w:line="278" w:lineRule="auto"/>
      <w:outlineLvl w:val="6"/>
    </w:pPr>
    <w:rPr>
      <w:rFonts w:asciiTheme="minorHAnsi" w:eastAsiaTheme="majorEastAsia" w:hAnsiTheme="minorHAnsi"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F10673"/>
    <w:pPr>
      <w:keepNext/>
      <w:keepLines/>
      <w:spacing w:line="278" w:lineRule="auto"/>
      <w:outlineLvl w:val="7"/>
    </w:pPr>
    <w:rPr>
      <w:rFonts w:asciiTheme="minorHAnsi" w:eastAsiaTheme="majorEastAsia" w:hAnsiTheme="minorHAnsi"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F10673"/>
    <w:pPr>
      <w:keepNext/>
      <w:keepLines/>
      <w:spacing w:line="278" w:lineRule="auto"/>
      <w:outlineLvl w:val="8"/>
    </w:pPr>
    <w:rPr>
      <w:rFonts w:asciiTheme="minorHAnsi" w:eastAsiaTheme="majorEastAsia" w:hAnsiTheme="minorHAnsi" w:cstheme="majorBidi"/>
      <w:color w:val="272727" w:themeColor="text1" w:themeTint="D8"/>
      <w:kern w:val="2"/>
      <w:lang w:val="en-CA"/>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DCA"/>
    <w:rPr>
      <w:rFonts w:ascii="Times New Roman" w:eastAsiaTheme="majorEastAsia" w:hAnsi="Times New Roman" w:cstheme="majorBidi"/>
      <w:b/>
      <w:color w:val="0F4761" w:themeColor="accent1" w:themeShade="BF"/>
      <w:sz w:val="36"/>
      <w:szCs w:val="40"/>
    </w:rPr>
  </w:style>
  <w:style w:type="character" w:customStyle="1" w:styleId="Heading2Char">
    <w:name w:val="Heading 2 Char"/>
    <w:aliases w:val="UnderHeading Char"/>
    <w:basedOn w:val="DefaultParagraphFont"/>
    <w:link w:val="Heading2"/>
    <w:uiPriority w:val="9"/>
    <w:rsid w:val="00D96135"/>
    <w:rPr>
      <w:rFonts w:ascii="Times New Roman" w:eastAsiaTheme="majorEastAsia" w:hAnsi="Times New Roman" w:cstheme="majorBidi"/>
      <w:b/>
      <w:i/>
      <w:color w:val="0F4761" w:themeColor="accent1" w:themeShade="BF"/>
      <w:sz w:val="20"/>
      <w:szCs w:val="32"/>
    </w:rPr>
  </w:style>
  <w:style w:type="character" w:customStyle="1" w:styleId="Heading3Char">
    <w:name w:val="Heading 3 Char"/>
    <w:aliases w:val="Heading 2. Char"/>
    <w:basedOn w:val="DefaultParagraphFont"/>
    <w:link w:val="Heading3"/>
    <w:uiPriority w:val="9"/>
    <w:rsid w:val="00E5370F"/>
    <w:rPr>
      <w:rFonts w:ascii="Times New Roman" w:eastAsiaTheme="majorEastAsia" w:hAnsi="Times New Roman" w:cstheme="majorBidi"/>
      <w:b/>
      <w:color w:val="215E99" w:themeColor="text2" w:themeTint="BF"/>
      <w:sz w:val="28"/>
      <w:szCs w:val="28"/>
    </w:rPr>
  </w:style>
  <w:style w:type="character" w:customStyle="1" w:styleId="Heading4Char">
    <w:name w:val="Heading 4 Char"/>
    <w:basedOn w:val="DefaultParagraphFont"/>
    <w:link w:val="Heading4"/>
    <w:uiPriority w:val="9"/>
    <w:rsid w:val="00AF3D95"/>
    <w:rPr>
      <w:rFonts w:ascii="Times New Roman" w:eastAsiaTheme="majorEastAsia" w:hAnsi="Times New Roman" w:cstheme="majorBidi"/>
      <w:b/>
      <w:iCs/>
      <w:color w:val="4C94D8" w:themeColor="text2" w:themeTint="80"/>
    </w:rPr>
  </w:style>
  <w:style w:type="character" w:customStyle="1" w:styleId="Heading5Char">
    <w:name w:val="Heading 5 Char"/>
    <w:basedOn w:val="DefaultParagraphFont"/>
    <w:link w:val="Heading5"/>
    <w:uiPriority w:val="9"/>
    <w:semiHidden/>
    <w:rsid w:val="00F106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6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6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6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673"/>
    <w:rPr>
      <w:rFonts w:eastAsiaTheme="majorEastAsia" w:cstheme="majorBidi"/>
      <w:color w:val="272727" w:themeColor="text1" w:themeTint="D8"/>
    </w:rPr>
  </w:style>
  <w:style w:type="paragraph" w:styleId="Title">
    <w:name w:val="Title"/>
    <w:basedOn w:val="Normal"/>
    <w:next w:val="Normal"/>
    <w:link w:val="TitleChar"/>
    <w:uiPriority w:val="10"/>
    <w:qFormat/>
    <w:rsid w:val="00F10673"/>
    <w:pPr>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F106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6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F106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673"/>
    <w:pPr>
      <w:spacing w:before="160" w:after="160" w:line="278" w:lineRule="auto"/>
      <w:jc w:val="center"/>
    </w:pPr>
    <w:rPr>
      <w:rFonts w:asciiTheme="minorHAnsi" w:eastAsiaTheme="minorHAnsi" w:hAnsiTheme="minorHAnsi" w:cstheme="minorBidi"/>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F10673"/>
    <w:rPr>
      <w:i/>
      <w:iCs/>
      <w:color w:val="404040" w:themeColor="text1" w:themeTint="BF"/>
    </w:rPr>
  </w:style>
  <w:style w:type="paragraph" w:styleId="ListParagraph">
    <w:name w:val="List Paragraph"/>
    <w:basedOn w:val="Normal"/>
    <w:uiPriority w:val="34"/>
    <w:qFormat/>
    <w:rsid w:val="00F31E96"/>
    <w:pPr>
      <w:spacing w:after="160" w:line="278" w:lineRule="auto"/>
      <w:ind w:left="720"/>
      <w:contextualSpacing/>
    </w:pPr>
    <w:rPr>
      <w:rFonts w:eastAsiaTheme="minorHAnsi" w:cstheme="minorBidi"/>
      <w:kern w:val="2"/>
      <w:lang w:val="en-CA"/>
      <w14:ligatures w14:val="standardContextual"/>
    </w:rPr>
  </w:style>
  <w:style w:type="character" w:styleId="IntenseEmphasis">
    <w:name w:val="Intense Emphasis"/>
    <w:basedOn w:val="DefaultParagraphFont"/>
    <w:uiPriority w:val="21"/>
    <w:qFormat/>
    <w:rsid w:val="00F10673"/>
    <w:rPr>
      <w:i/>
      <w:iCs/>
      <w:color w:val="0F4761" w:themeColor="accent1" w:themeShade="BF"/>
    </w:rPr>
  </w:style>
  <w:style w:type="paragraph" w:styleId="IntenseQuote">
    <w:name w:val="Intense Quote"/>
    <w:basedOn w:val="Normal"/>
    <w:next w:val="Normal"/>
    <w:link w:val="IntenseQuoteChar"/>
    <w:uiPriority w:val="30"/>
    <w:qFormat/>
    <w:rsid w:val="00F106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F10673"/>
    <w:rPr>
      <w:i/>
      <w:iCs/>
      <w:color w:val="0F4761" w:themeColor="accent1" w:themeShade="BF"/>
    </w:rPr>
  </w:style>
  <w:style w:type="character" w:styleId="IntenseReference">
    <w:name w:val="Intense Reference"/>
    <w:basedOn w:val="DefaultParagraphFont"/>
    <w:uiPriority w:val="32"/>
    <w:qFormat/>
    <w:rsid w:val="00F10673"/>
    <w:rPr>
      <w:b/>
      <w:bCs/>
      <w:smallCaps/>
      <w:color w:val="0F4761" w:themeColor="accent1" w:themeShade="BF"/>
      <w:spacing w:val="5"/>
    </w:rPr>
  </w:style>
  <w:style w:type="paragraph" w:styleId="Header">
    <w:name w:val="header"/>
    <w:basedOn w:val="Normal"/>
    <w:link w:val="HeaderChar"/>
    <w:uiPriority w:val="99"/>
    <w:unhideWhenUsed/>
    <w:rsid w:val="00F10673"/>
    <w:pPr>
      <w:tabs>
        <w:tab w:val="center" w:pos="4680"/>
        <w:tab w:val="right" w:pos="9360"/>
      </w:tabs>
    </w:pPr>
  </w:style>
  <w:style w:type="character" w:customStyle="1" w:styleId="HeaderChar">
    <w:name w:val="Header Char"/>
    <w:basedOn w:val="DefaultParagraphFont"/>
    <w:link w:val="Header"/>
    <w:uiPriority w:val="99"/>
    <w:rsid w:val="00F10673"/>
    <w:rPr>
      <w:rFonts w:ascii="Cambria" w:eastAsia="Cambria" w:hAnsi="Cambria" w:cs="Times New Roman"/>
      <w:kern w:val="0"/>
      <w:lang w:val="fr-CA"/>
      <w14:ligatures w14:val="none"/>
    </w:rPr>
  </w:style>
  <w:style w:type="paragraph" w:styleId="Footer">
    <w:name w:val="footer"/>
    <w:basedOn w:val="Normal"/>
    <w:link w:val="FooterChar"/>
    <w:uiPriority w:val="99"/>
    <w:unhideWhenUsed/>
    <w:rsid w:val="00F10673"/>
    <w:pPr>
      <w:tabs>
        <w:tab w:val="center" w:pos="4680"/>
        <w:tab w:val="right" w:pos="9360"/>
      </w:tabs>
    </w:pPr>
  </w:style>
  <w:style w:type="character" w:customStyle="1" w:styleId="FooterChar">
    <w:name w:val="Footer Char"/>
    <w:basedOn w:val="DefaultParagraphFont"/>
    <w:link w:val="Footer"/>
    <w:uiPriority w:val="99"/>
    <w:rsid w:val="00F10673"/>
    <w:rPr>
      <w:rFonts w:ascii="Cambria" w:eastAsia="Cambria" w:hAnsi="Cambria" w:cs="Times New Roman"/>
      <w:kern w:val="0"/>
      <w:lang w:val="fr-CA"/>
      <w14:ligatures w14:val="none"/>
    </w:rPr>
  </w:style>
  <w:style w:type="character" w:styleId="Strong">
    <w:name w:val="Strong"/>
    <w:basedOn w:val="DefaultParagraphFont"/>
    <w:uiPriority w:val="22"/>
    <w:qFormat/>
    <w:rsid w:val="00F7721A"/>
    <w:rPr>
      <w:b/>
      <w:bCs/>
    </w:rPr>
  </w:style>
  <w:style w:type="character" w:customStyle="1" w:styleId="apple-converted-space">
    <w:name w:val="apple-converted-space"/>
    <w:basedOn w:val="DefaultParagraphFont"/>
    <w:rsid w:val="00F7721A"/>
  </w:style>
  <w:style w:type="paragraph" w:styleId="NormalWeb">
    <w:name w:val="Normal (Web)"/>
    <w:basedOn w:val="Normal"/>
    <w:uiPriority w:val="99"/>
    <w:semiHidden/>
    <w:unhideWhenUsed/>
    <w:rsid w:val="003F20A3"/>
    <w:pPr>
      <w:spacing w:before="100" w:beforeAutospacing="1" w:after="100" w:afterAutospacing="1"/>
    </w:pPr>
    <w:rPr>
      <w:rFonts w:eastAsia="Times New Roman"/>
      <w:lang w:val="en-CA"/>
    </w:rPr>
  </w:style>
  <w:style w:type="character" w:styleId="Emphasis">
    <w:name w:val="Emphasis"/>
    <w:basedOn w:val="DefaultParagraphFont"/>
    <w:uiPriority w:val="20"/>
    <w:qFormat/>
    <w:rsid w:val="003F20A3"/>
    <w:rPr>
      <w:i/>
      <w:iCs/>
    </w:rPr>
  </w:style>
  <w:style w:type="character" w:styleId="Hyperlink">
    <w:name w:val="Hyperlink"/>
    <w:basedOn w:val="DefaultParagraphFont"/>
    <w:uiPriority w:val="99"/>
    <w:unhideWhenUsed/>
    <w:rsid w:val="003F20A3"/>
    <w:rPr>
      <w:color w:val="0000FF"/>
      <w:u w:val="single"/>
    </w:rPr>
  </w:style>
  <w:style w:type="character" w:styleId="UnresolvedMention">
    <w:name w:val="Unresolved Mention"/>
    <w:basedOn w:val="DefaultParagraphFont"/>
    <w:uiPriority w:val="99"/>
    <w:semiHidden/>
    <w:unhideWhenUsed/>
    <w:rsid w:val="003F20A3"/>
    <w:rPr>
      <w:color w:val="605E5C"/>
      <w:shd w:val="clear" w:color="auto" w:fill="E1DFDD"/>
    </w:rPr>
  </w:style>
  <w:style w:type="character" w:styleId="FollowedHyperlink">
    <w:name w:val="FollowedHyperlink"/>
    <w:basedOn w:val="DefaultParagraphFont"/>
    <w:uiPriority w:val="99"/>
    <w:semiHidden/>
    <w:unhideWhenUsed/>
    <w:rsid w:val="00845C5A"/>
    <w:rPr>
      <w:color w:val="96607D" w:themeColor="followedHyperlink"/>
      <w:u w:val="single"/>
    </w:rPr>
  </w:style>
  <w:style w:type="table" w:styleId="TableGrid">
    <w:name w:val="Table Grid"/>
    <w:basedOn w:val="TableNormal"/>
    <w:uiPriority w:val="39"/>
    <w:rsid w:val="00FB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B4FB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SubtleReference">
    <w:name w:val="Subtle Reference"/>
    <w:basedOn w:val="DefaultParagraphFont"/>
    <w:uiPriority w:val="31"/>
    <w:qFormat/>
    <w:rsid w:val="008A6943"/>
    <w:rPr>
      <w:rFonts w:ascii="Times New Roman" w:hAnsi="Times New Roman"/>
      <w:i/>
      <w:smallCaps/>
      <w:color w:val="5A5A5A" w:themeColor="text1" w:themeTint="A5"/>
    </w:rPr>
  </w:style>
  <w:style w:type="paragraph" w:styleId="NoSpacing">
    <w:name w:val="No Spacing"/>
    <w:uiPriority w:val="1"/>
    <w:qFormat/>
    <w:rsid w:val="00763423"/>
    <w:pPr>
      <w:spacing w:after="0" w:line="240" w:lineRule="auto"/>
      <w:jc w:val="both"/>
    </w:pPr>
    <w:rPr>
      <w:rFonts w:ascii="Times New Roman" w:eastAsia="Cambria" w:hAnsi="Times New Roman" w:cs="Times New Roman"/>
      <w:kern w:val="0"/>
      <w:lang w:val="fr-CA"/>
      <w14:ligatures w14:val="none"/>
    </w:rPr>
  </w:style>
  <w:style w:type="paragraph" w:styleId="TOCHeading">
    <w:name w:val="TOC Heading"/>
    <w:basedOn w:val="Heading1"/>
    <w:next w:val="Normal"/>
    <w:uiPriority w:val="39"/>
    <w:unhideWhenUsed/>
    <w:qFormat/>
    <w:rsid w:val="00175B2B"/>
    <w:pPr>
      <w:spacing w:before="480" w:after="0" w:line="276" w:lineRule="auto"/>
      <w:outlineLvl w:val="9"/>
    </w:pPr>
    <w:rPr>
      <w:rFonts w:asciiTheme="majorHAnsi" w:hAnsiTheme="majorHAnsi"/>
      <w:bCs/>
      <w:kern w:val="0"/>
      <w:sz w:val="28"/>
      <w:szCs w:val="28"/>
      <w:lang w:val="en-US"/>
      <w14:ligatures w14:val="none"/>
    </w:rPr>
  </w:style>
  <w:style w:type="paragraph" w:styleId="TOC1">
    <w:name w:val="toc 1"/>
    <w:basedOn w:val="Normal"/>
    <w:next w:val="Normal"/>
    <w:autoRedefine/>
    <w:uiPriority w:val="39"/>
    <w:unhideWhenUsed/>
    <w:rsid w:val="00175B2B"/>
    <w:pPr>
      <w:spacing w:before="120"/>
      <w:jc w:val="left"/>
    </w:pPr>
    <w:rPr>
      <w:rFonts w:asciiTheme="minorHAnsi" w:hAnsiTheme="minorHAnsi"/>
      <w:b/>
      <w:bCs/>
      <w:i/>
      <w:iCs/>
    </w:rPr>
  </w:style>
  <w:style w:type="paragraph" w:styleId="TOC2">
    <w:name w:val="toc 2"/>
    <w:basedOn w:val="Normal"/>
    <w:next w:val="Normal"/>
    <w:autoRedefine/>
    <w:uiPriority w:val="39"/>
    <w:unhideWhenUsed/>
    <w:rsid w:val="00175B2B"/>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175B2B"/>
    <w:pPr>
      <w:ind w:left="480"/>
      <w:jc w:val="left"/>
    </w:pPr>
    <w:rPr>
      <w:rFonts w:asciiTheme="minorHAnsi" w:hAnsiTheme="minorHAnsi"/>
      <w:sz w:val="20"/>
      <w:szCs w:val="20"/>
    </w:rPr>
  </w:style>
  <w:style w:type="paragraph" w:styleId="TOC4">
    <w:name w:val="toc 4"/>
    <w:basedOn w:val="Normal"/>
    <w:next w:val="Normal"/>
    <w:autoRedefine/>
    <w:uiPriority w:val="39"/>
    <w:semiHidden/>
    <w:unhideWhenUsed/>
    <w:rsid w:val="00175B2B"/>
    <w:pPr>
      <w:ind w:left="720"/>
      <w:jc w:val="left"/>
    </w:pPr>
    <w:rPr>
      <w:rFonts w:asciiTheme="minorHAnsi" w:hAnsiTheme="minorHAnsi"/>
      <w:sz w:val="20"/>
      <w:szCs w:val="20"/>
    </w:rPr>
  </w:style>
  <w:style w:type="paragraph" w:styleId="TOC5">
    <w:name w:val="toc 5"/>
    <w:basedOn w:val="Normal"/>
    <w:next w:val="Normal"/>
    <w:autoRedefine/>
    <w:uiPriority w:val="39"/>
    <w:semiHidden/>
    <w:unhideWhenUsed/>
    <w:rsid w:val="00175B2B"/>
    <w:pPr>
      <w:ind w:left="960"/>
      <w:jc w:val="left"/>
    </w:pPr>
    <w:rPr>
      <w:rFonts w:asciiTheme="minorHAnsi" w:hAnsiTheme="minorHAnsi"/>
      <w:sz w:val="20"/>
      <w:szCs w:val="20"/>
    </w:rPr>
  </w:style>
  <w:style w:type="paragraph" w:styleId="TOC6">
    <w:name w:val="toc 6"/>
    <w:basedOn w:val="Normal"/>
    <w:next w:val="Normal"/>
    <w:autoRedefine/>
    <w:uiPriority w:val="39"/>
    <w:semiHidden/>
    <w:unhideWhenUsed/>
    <w:rsid w:val="00175B2B"/>
    <w:pPr>
      <w:ind w:left="1200"/>
      <w:jc w:val="left"/>
    </w:pPr>
    <w:rPr>
      <w:rFonts w:asciiTheme="minorHAnsi" w:hAnsiTheme="minorHAnsi"/>
      <w:sz w:val="20"/>
      <w:szCs w:val="20"/>
    </w:rPr>
  </w:style>
  <w:style w:type="paragraph" w:styleId="TOC7">
    <w:name w:val="toc 7"/>
    <w:basedOn w:val="Normal"/>
    <w:next w:val="Normal"/>
    <w:autoRedefine/>
    <w:uiPriority w:val="39"/>
    <w:semiHidden/>
    <w:unhideWhenUsed/>
    <w:rsid w:val="00175B2B"/>
    <w:pPr>
      <w:ind w:left="1440"/>
      <w:jc w:val="left"/>
    </w:pPr>
    <w:rPr>
      <w:rFonts w:asciiTheme="minorHAnsi" w:hAnsiTheme="minorHAnsi"/>
      <w:sz w:val="20"/>
      <w:szCs w:val="20"/>
    </w:rPr>
  </w:style>
  <w:style w:type="paragraph" w:styleId="TOC8">
    <w:name w:val="toc 8"/>
    <w:basedOn w:val="Normal"/>
    <w:next w:val="Normal"/>
    <w:autoRedefine/>
    <w:uiPriority w:val="39"/>
    <w:semiHidden/>
    <w:unhideWhenUsed/>
    <w:rsid w:val="00175B2B"/>
    <w:pPr>
      <w:ind w:left="1680"/>
      <w:jc w:val="left"/>
    </w:pPr>
    <w:rPr>
      <w:rFonts w:asciiTheme="minorHAnsi" w:hAnsiTheme="minorHAnsi"/>
      <w:sz w:val="20"/>
      <w:szCs w:val="20"/>
    </w:rPr>
  </w:style>
  <w:style w:type="paragraph" w:styleId="TOC9">
    <w:name w:val="toc 9"/>
    <w:basedOn w:val="Normal"/>
    <w:next w:val="Normal"/>
    <w:autoRedefine/>
    <w:uiPriority w:val="39"/>
    <w:semiHidden/>
    <w:unhideWhenUsed/>
    <w:rsid w:val="00175B2B"/>
    <w:pPr>
      <w:ind w:left="1920"/>
      <w:jc w:val="left"/>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pdime/Library/Group%20Containers/UBF8T346G9.Office/User%20Content.localized/Templates.localized/Hult%20Business%20Schoo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27EC8-96DE-0E40-BE05-5F1718B76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Hult Business School.dotx</Template>
  <TotalTime>0</TotalTime>
  <Pages>28</Pages>
  <Words>9077</Words>
  <Characters>57915</Characters>
  <Application>Microsoft Office Word</Application>
  <DocSecurity>0</DocSecurity>
  <Lines>1485</Lines>
  <Paragraphs>837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Alexandre LY</cp:lastModifiedBy>
  <cp:revision>2</cp:revision>
  <dcterms:created xsi:type="dcterms:W3CDTF">2026-04-21T03:48:00Z</dcterms:created>
  <dcterms:modified xsi:type="dcterms:W3CDTF">2026-04-21T03:48:00Z</dcterms:modified>
</cp:coreProperties>
</file>