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i w:val="0"/>
          <w:sz w:val="44"/>
        </w:rPr>
        <w:t>Data Center Load Growth in Virginia</w:t>
      </w:r>
    </w:p>
    <w:p>
      <w:pPr>
        <w:jc w:val="center"/>
      </w:pPr>
      <w:r>
        <w:rPr>
          <w:b w:val="0"/>
          <w:i w:val="0"/>
          <w:sz w:val="28"/>
        </w:rPr>
        <w:t>Probabilistic Data Center Load Forecast and Its Capital and Rate Implications, 2025–2035</w:t>
      </w:r>
    </w:p>
    <w:p>
      <w:pPr>
        <w:jc w:val="center"/>
      </w:pPr>
      <w:r>
        <w:rPr>
          <w:b w:val="0"/>
          <w:i w:val="0"/>
        </w:rPr>
        <w:t>Territory: Dominion Energy Virginia (PJM DOM zone)</w:t>
      </w:r>
    </w:p>
    <w:p>
      <w:pPr>
        <w:jc w:val="center"/>
      </w:pPr>
      <w:r>
        <w:rPr>
          <w:b w:val="0"/>
          <w:i w:val="0"/>
        </w:rPr>
        <w:t>Alexandre Ly  ·  Independent Research  ·  October 05, 2026</w:t>
      </w:r>
    </w:p>
    <w:p/>
    <w:p>
      <w:pPr>
        <w:jc w:val="center"/>
      </w:pPr>
      <w:r>
        <w:rPr>
          <w:b w:val="0"/>
          <w:i w:val="0"/>
          <w:sz w:val="18"/>
        </w:rPr>
        <w:t>Repository: github.com/alexly0329-cpu/dominionenergy_forecast  ·  Model: dc_load_model.ipynb  ·  Workbook: model/capital_rate_model.xlsx</w:t>
      </w:r>
    </w:p>
    <w:p>
      <w:r>
        <w:br w:type="page"/>
      </w:r>
    </w:p>
    <w:p>
      <w:pPr>
        <w:pStyle w:val="Heading1"/>
      </w:pPr>
      <w:r>
        <w:t>1. Executive Summary</w:t>
      </w:r>
    </w:p>
    <w:p>
      <w:r>
        <w:rPr>
          <w:b w:val="0"/>
          <w:i w:val="0"/>
        </w:rPr>
        <w:t>Data center load in Dominion Energy Virginia (PJM DOM zone) is likely to add 12,957 MW of peak demand by 2035 (90% range: 8,661–16,569 MW), on top of roughly -396 MW of organic growth (-0.2% per year). By 2030, the median incremental load is 6,623 MW. These figures treat announced capacity as a probability-weighted pipeline, not a certainty: the de-duplicated pipeline contains 46 projects totaling 17,530 MW of grid capacity, of which only the stage-weighted expectation is counted, and the range allows for shared shocks that would hit many projects at once.</w:t>
      </w:r>
    </w:p>
    <w:p>
      <w:r>
        <w:rPr>
          <w:b w:val="0"/>
          <w:i w:val="0"/>
        </w:rPr>
        <w:t>Serving the Base case requires approximately $83.4B of incremental generation and transmission/distribution capital through 2035 ($58.6B in the Low case, $112.8B in the High case), expanding the utility's rate base by $64.7B and raising annual net income by about $3,297M by 2035.</w:t>
      </w:r>
    </w:p>
    <w:p>
      <w:r>
        <w:rPr>
          <w:b w:val="0"/>
          <w:i w:val="0"/>
        </w:rPr>
        <w:t>Because data centers operate at roughly 80% load factor, each megawatt of peak brings about 7.0 GWh of annual sales. In the Base case the system-average rate in 2035 is 15.35 ¢/kWh versus 13.93 ¢/kWh in a no-new-data-center counterfactual, +10.1% (higher). Across scenarios the 2035 rate effect ranges from +8.1% to +12.0%.</w:t>
      </w:r>
    </w:p>
    <w:p>
      <w:r>
        <w:rPr>
          <w:b w:val="0"/>
          <w:i w:val="0"/>
        </w:rPr>
        <w:t>The central risk is asymmetric. If 25% of the data center load the system is built for fails to materialize after 2030, the 2035 average rate effect becomes +13.8% with no protective tariff, but +5.3% under a GS-5-style large-load tariff (minimum charges of 85% of contracted transmission and distribution demand and 60% of generation demand) combined with 25% upfront customer contribution.</w:t>
      </w:r>
    </w:p>
    <w:p>
      <w:r>
        <w:rPr>
          <w:b w:val="0"/>
          <w:i w:val="0"/>
        </w:rPr>
        <w:t>Our Base-case 2035 system peak is 37,013 MW, -8.5% versus PJM 2026 Load Forecast (derived) (2026); Section 8 compares the two forecasts.</w:t>
      </w:r>
    </w:p>
    <w:p>
      <w:r>
        <w:rPr>
          <w:b/>
          <w:i w:val="0"/>
        </w:rPr>
        <w:t xml:space="preserve">Recommendation. </w:t>
      </w:r>
      <w:r>
        <w:t>Plan generation and transmission to the median forecast (12,957 MW of new data center peak by 2035), stage procurement with explicit decision gates tied to signed Electric Service Agreements, and condition large-load interconnection on tariff protections that place stranded-cost risk on the customers that create it. The three assumptions that most deserve further diligence are data center load factor, marginal energy cost, and capital cost.</w:t>
      </w:r>
    </w:p>
    <w:p>
      <w:r>
        <w:br w:type="page"/>
      </w:r>
    </w:p>
    <w:p>
      <w:pPr>
        <w:pStyle w:val="Heading1"/>
      </w:pPr>
      <w:r>
        <w:t>2. Background and Problem</w:t>
      </w:r>
    </w:p>
    <w:p>
      <w:r>
        <w:rPr>
          <w:b w:val="0"/>
          <w:i w:val="0"/>
        </w:rPr>
        <w:t>Electric utilities and regional transmission organizations have revised their long-term load forecasts upward repeatedly since 2022, driven largely by data center interconnection requests. Unlike most load growth, data center demand arrives in large, lumpy blocks (100–1,000+ MW per campus), runs nearly flat around the clock, and is announced years before it is energized. Planners face a two-sided error: under-building risks reliability shortfalls and emergency procurement; over-building risks stranded assets whose cost falls on all ratepayers.</w:t>
      </w:r>
    </w:p>
    <w:p>
      <w:r>
        <w:rPr>
          <w:b w:val="0"/>
          <w:i w:val="0"/>
        </w:rPr>
        <w:t>This report asks three questions for Dominion Energy Virginia (PJM DOM zone):</w:t>
      </w:r>
    </w:p>
    <w:p>
      <w:pPr>
        <w:pStyle w:val="ListBullet"/>
      </w:pPr>
      <w:r>
        <w:t>How much incremental peak and energy demand will data centers plausibly add by 2030 and 2035, with explicit uncertainty?</w:t>
      </w:r>
    </w:p>
    <w:p>
      <w:pPr>
        <w:pStyle w:val="ListBullet"/>
      </w:pPr>
      <w:r>
        <w:t>What generation and grid capital does that demand require, and how does it flow into rate base, revenue requirement, and customer rates?</w:t>
      </w:r>
    </w:p>
    <w:p>
      <w:pPr>
        <w:pStyle w:val="ListBullet"/>
      </w:pPr>
      <w:r>
        <w:t>How is the risk of forecast error distributed between the utility, its shareholders, data center customers, and other ratepayers?</w:t>
      </w:r>
    </w:p>
    <w:p>
      <w:pPr>
        <w:pStyle w:val="Heading2"/>
      </w:pPr>
      <w:r>
        <w:t>Key concepts</w:t>
      </w:r>
    </w:p>
    <w:p>
      <w:pPr>
        <w:keepNext/>
      </w:pPr>
      <w:r>
        <w:rPr>
          <w:b w:val="0"/>
          <w:i/>
          <w:sz w:val="18"/>
        </w:rPr>
        <w:t>Table 1. Glossary of planning and ratemaking terms</w:t>
      </w:r>
    </w:p>
    <w:tbl>
      <w:tblPr>
        <w:tblStyle w:val="TableGrid"/>
        <w:tblW w:type="auto" w:w="0"/>
        <w:jc w:val="center"/>
        <w:tblLook w:firstColumn="1" w:firstRow="1" w:lastColumn="0" w:lastRow="0" w:noHBand="0" w:noVBand="1" w:val="04A0"/>
      </w:tblPr>
      <w:tblGrid>
        <w:gridCol w:w="4680"/>
        <w:gridCol w:w="4680"/>
      </w:tblGrid>
      <w:tr>
        <w:trPr>
          <w:cantSplit w:val="true"/>
          <w:tblHeader w:val="true"/>
        </w:trPr>
        <w:tc>
          <w:tcPr>
            <w:tcW w:type="dxa" w:w="4680"/>
            <w:shd w:val="clear" w:color="auto" w:fill="DCE6F1"/>
          </w:tcPr>
          <w:p>
            <w:pPr>
              <w:keepNext/>
            </w:pPr>
            <w:r>
              <w:rPr>
                <w:b/>
                <w:sz w:val="18"/>
              </w:rPr>
              <w:t>Term</w:t>
            </w:r>
          </w:p>
        </w:tc>
        <w:tc>
          <w:tcPr>
            <w:tcW w:type="dxa" w:w="4680"/>
            <w:shd w:val="clear" w:color="auto" w:fill="DCE6F1"/>
          </w:tcPr>
          <w:p>
            <w:pPr>
              <w:keepNext/>
            </w:pPr>
            <w:r>
              <w:rPr>
                <w:b/>
                <w:sz w:val="18"/>
              </w:rPr>
              <w:t>Meaning</w:t>
            </w:r>
          </w:p>
        </w:tc>
      </w:tr>
      <w:tr>
        <w:trPr>
          <w:cantSplit w:val="true"/>
        </w:trPr>
        <w:tc>
          <w:tcPr>
            <w:tcW w:type="dxa" w:w="4680"/>
          </w:tcPr>
          <w:p>
            <w:pPr>
              <w:keepNext/>
            </w:pPr>
            <w:r>
              <w:rPr>
                <w:sz w:val="18"/>
              </w:rPr>
              <w:t>MW vs. MWh</w:t>
            </w:r>
          </w:p>
        </w:tc>
        <w:tc>
          <w:tcPr>
            <w:tcW w:type="dxa" w:w="4680"/>
          </w:tcPr>
          <w:p>
            <w:pPr>
              <w:keepNext/>
            </w:pPr>
            <w:r>
              <w:rPr>
                <w:sz w:val="18"/>
              </w:rPr>
              <w:t>MW is instantaneous demand (drives capacity build); MWh is energy over time (drives fuel cost and revenue).</w:t>
            </w:r>
          </w:p>
        </w:tc>
      </w:tr>
      <w:tr>
        <w:trPr>
          <w:cantSplit w:val="true"/>
        </w:trPr>
        <w:tc>
          <w:tcPr>
            <w:tcW w:type="dxa" w:w="4680"/>
          </w:tcPr>
          <w:p>
            <w:pPr>
              <w:keepNext/>
            </w:pPr>
            <w:r>
              <w:rPr>
                <w:sz w:val="18"/>
              </w:rPr>
              <w:t>Load factor</w:t>
            </w:r>
          </w:p>
        </w:tc>
        <w:tc>
          <w:tcPr>
            <w:tcW w:type="dxa" w:w="4680"/>
          </w:tcPr>
          <w:p>
            <w:pPr>
              <w:keepNext/>
            </w:pPr>
            <w:r>
              <w:rPr>
                <w:sz w:val="18"/>
              </w:rPr>
              <w:t>Average load ÷ peak load. Data centers run near-flat; residential load is far more variable.</w:t>
            </w:r>
          </w:p>
        </w:tc>
      </w:tr>
      <w:tr>
        <w:trPr>
          <w:cantSplit w:val="true"/>
        </w:trPr>
        <w:tc>
          <w:tcPr>
            <w:tcW w:type="dxa" w:w="4680"/>
          </w:tcPr>
          <w:p>
            <w:pPr>
              <w:keepNext/>
            </w:pPr>
            <w:r>
              <w:rPr>
                <w:sz w:val="18"/>
              </w:rPr>
              <w:t>Reserve requirement (IRM / FPR)</w:t>
            </w:r>
          </w:p>
        </w:tc>
        <w:tc>
          <w:tcPr>
            <w:tcW w:type="dxa" w:w="4680"/>
          </w:tcPr>
          <w:p>
            <w:pPr>
              <w:keepNext/>
            </w:pPr>
            <w:r>
              <w:rPr>
                <w:sz w:val="18"/>
              </w:rPr>
              <w:t>PJM's installed reserve margin (IRM) is extra installed capacity above peak; the forecast pool requirement (FPR) expresses the same requirement in accredited (ELCC) megawatts per megawatt of peak.</w:t>
            </w:r>
          </w:p>
        </w:tc>
      </w:tr>
      <w:tr>
        <w:trPr>
          <w:cantSplit w:val="true"/>
        </w:trPr>
        <w:tc>
          <w:tcPr>
            <w:tcW w:type="dxa" w:w="4680"/>
          </w:tcPr>
          <w:p>
            <w:pPr>
              <w:keepNext/>
            </w:pPr>
            <w:r>
              <w:rPr>
                <w:sz w:val="18"/>
              </w:rPr>
              <w:t>ELCC / accreditation</w:t>
            </w:r>
          </w:p>
        </w:tc>
        <w:tc>
          <w:tcPr>
            <w:tcW w:type="dxa" w:w="4680"/>
          </w:tcPr>
          <w:p>
            <w:pPr>
              <w:keepNext/>
            </w:pPr>
            <w:r>
              <w:rPr>
                <w:sz w:val="18"/>
              </w:rPr>
              <w:t>Share of a resource's nameplate that counts toward reliability. Solar and storage count for far less than nameplate.</w:t>
            </w:r>
          </w:p>
        </w:tc>
      </w:tr>
      <w:tr>
        <w:trPr>
          <w:cantSplit w:val="true"/>
        </w:trPr>
        <w:tc>
          <w:tcPr>
            <w:tcW w:type="dxa" w:w="4680"/>
          </w:tcPr>
          <w:p>
            <w:pPr>
              <w:keepNext/>
            </w:pPr>
            <w:r>
              <w:rPr>
                <w:sz w:val="18"/>
              </w:rPr>
              <w:t>Rate base</w:t>
            </w:r>
          </w:p>
        </w:tc>
        <w:tc>
          <w:tcPr>
            <w:tcW w:type="dxa" w:w="4680"/>
          </w:tcPr>
          <w:p>
            <w:pPr>
              <w:keepNext/>
            </w:pPr>
            <w:r>
              <w:rPr>
                <w:sz w:val="18"/>
              </w:rPr>
              <w:t>Net invested capital on which the regulator allows a return.</w:t>
            </w:r>
          </w:p>
        </w:tc>
      </w:tr>
      <w:tr>
        <w:trPr>
          <w:cantSplit w:val="true"/>
        </w:trPr>
        <w:tc>
          <w:tcPr>
            <w:tcW w:type="dxa" w:w="4680"/>
          </w:tcPr>
          <w:p>
            <w:pPr>
              <w:keepNext/>
            </w:pPr>
            <w:r>
              <w:rPr>
                <w:sz w:val="18"/>
              </w:rPr>
              <w:t>Revenue requirement</w:t>
            </w:r>
          </w:p>
        </w:tc>
        <w:tc>
          <w:tcPr>
            <w:tcW w:type="dxa" w:w="4680"/>
          </w:tcPr>
          <w:p>
            <w:pPr>
              <w:keepNext/>
            </w:pPr>
            <w:r>
              <w:rPr>
                <w:sz w:val="18"/>
              </w:rPr>
              <w:t>Rate base × allowed return + depreciation + O&amp;M + fuel + taxes. Rates = revenue requirement ÷ sales.</w:t>
            </w:r>
          </w:p>
        </w:tc>
      </w:tr>
      <w:tr>
        <w:trPr>
          <w:cantSplit w:val="true"/>
        </w:trPr>
        <w:tc>
          <w:tcPr>
            <w:tcW w:type="dxa" w:w="4680"/>
          </w:tcPr>
          <w:p>
            <w:r>
              <w:rPr>
                <w:sz w:val="18"/>
              </w:rPr>
              <w:t>CIAC / minimum bill</w:t>
            </w:r>
          </w:p>
        </w:tc>
        <w:tc>
          <w:tcPr>
            <w:tcW w:type="dxa" w:w="4680"/>
          </w:tcPr>
          <w:p>
            <w:r>
              <w:rPr>
                <w:sz w:val="18"/>
              </w:rPr>
              <w:t>Tariff tools that shift construction or stranded-asset cost onto the large customer.</w:t>
            </w:r>
          </w:p>
        </w:tc>
      </w:tr>
    </w:tbl>
    <w:p/>
    <w:p>
      <w:pPr>
        <w:pStyle w:val="Heading1"/>
      </w:pPr>
      <w:r>
        <w:t>3. Data and Methods</w:t>
      </w:r>
    </w:p>
    <w:p>
      <w:r>
        <w:rPr>
          <w:b w:val="0"/>
          <w:i w:val="0"/>
        </w:rPr>
        <w:t>The analysis is a reproducible pipeline (Figure 1). Hourly load and weather data produce a weather-normalized organic baseline with historical data center load removed. A hand-curated, stage-tagged project pipeline is converted into probabilistic incremental load via Monte Carlo simulation. Incremental load is translated into accredited capacity need, nameplate build by technology, capital, rate base, revenue requirement, rates, and earnings.</w:t>
      </w:r>
    </w:p>
    <w:p>
      <w:pPr>
        <w:jc w:val="center"/>
      </w:pPr>
      <w:r>
        <w:drawing>
          <wp:inline xmlns:a="http://schemas.openxmlformats.org/drawingml/2006/main" xmlns:pic="http://schemas.openxmlformats.org/drawingml/2006/picture">
            <wp:extent cx="5760720" cy="2153472"/>
            <wp:docPr id="1" name="Picture 1"/>
            <wp:cNvGraphicFramePr>
              <a:graphicFrameLocks noChangeAspect="1"/>
            </wp:cNvGraphicFramePr>
            <a:graphic>
              <a:graphicData uri="http://schemas.openxmlformats.org/drawingml/2006/picture">
                <pic:pic>
                  <pic:nvPicPr>
                    <pic:cNvPr id="0" name="method_diagram.png"/>
                    <pic:cNvPicPr/>
                  </pic:nvPicPr>
                  <pic:blipFill>
                    <a:blip r:embed="rId10"/>
                    <a:stretch>
                      <a:fillRect/>
                    </a:stretch>
                  </pic:blipFill>
                  <pic:spPr>
                    <a:xfrm>
                      <a:off x="0" y="0"/>
                      <a:ext cx="5760720" cy="2153472"/>
                    </a:xfrm>
                    <a:prstGeom prst="rect"/>
                  </pic:spPr>
                </pic:pic>
              </a:graphicData>
            </a:graphic>
          </wp:inline>
        </w:drawing>
      </w:r>
    </w:p>
    <w:p>
      <w:pPr>
        <w:jc w:val="center"/>
      </w:pPr>
      <w:r>
        <w:rPr>
          <w:b w:val="0"/>
          <w:i/>
          <w:sz w:val="18"/>
        </w:rPr>
        <w:t>Figure 1. Analytical pipeline from raw data to rate impact.</w:t>
      </w:r>
    </w:p>
    <w:p>
      <w:pPr>
        <w:keepNext/>
      </w:pPr>
      <w:r>
        <w:rPr>
          <w:b w:val="0"/>
          <w:i/>
          <w:sz w:val="18"/>
        </w:rPr>
        <w:t>Table 2. Data sources</w:t>
      </w:r>
    </w:p>
    <w:tbl>
      <w:tblPr>
        <w:tblStyle w:val="TableGrid"/>
        <w:tblW w:type="auto" w:w="0"/>
        <w:jc w:val="center"/>
        <w:tblLook w:firstColumn="1" w:firstRow="1" w:lastColumn="0" w:lastRow="0" w:noHBand="0" w:noVBand="1" w:val="04A0"/>
      </w:tblPr>
      <w:tblGrid>
        <w:gridCol w:w="3120"/>
        <w:gridCol w:w="3120"/>
        <w:gridCol w:w="3120"/>
      </w:tblGrid>
      <w:tr>
        <w:trPr>
          <w:cantSplit w:val="true"/>
          <w:tblHeader w:val="true"/>
        </w:trPr>
        <w:tc>
          <w:tcPr>
            <w:tcW w:type="dxa" w:w="3120"/>
            <w:shd w:val="clear" w:color="auto" w:fill="DCE6F1"/>
          </w:tcPr>
          <w:p>
            <w:pPr>
              <w:keepNext/>
            </w:pPr>
            <w:r>
              <w:rPr>
                <w:b/>
                <w:sz w:val="18"/>
              </w:rPr>
              <w:t>Input</w:t>
            </w:r>
          </w:p>
        </w:tc>
        <w:tc>
          <w:tcPr>
            <w:tcW w:type="dxa" w:w="3120"/>
            <w:shd w:val="clear" w:color="auto" w:fill="DCE6F1"/>
          </w:tcPr>
          <w:p>
            <w:pPr>
              <w:keepNext/>
            </w:pPr>
            <w:r>
              <w:rPr>
                <w:b/>
                <w:sz w:val="18"/>
              </w:rPr>
              <w:t>Source</w:t>
            </w:r>
          </w:p>
        </w:tc>
        <w:tc>
          <w:tcPr>
            <w:tcW w:type="dxa" w:w="3120"/>
            <w:shd w:val="clear" w:color="auto" w:fill="DCE6F1"/>
          </w:tcPr>
          <w:p>
            <w:pPr>
              <w:keepNext/>
            </w:pPr>
            <w:r>
              <w:rPr>
                <w:b/>
                <w:sz w:val="18"/>
              </w:rPr>
              <w:t>Notes</w:t>
            </w:r>
          </w:p>
        </w:tc>
      </w:tr>
      <w:tr>
        <w:trPr>
          <w:cantSplit w:val="true"/>
        </w:trPr>
        <w:tc>
          <w:tcPr>
            <w:tcW w:type="dxa" w:w="3120"/>
          </w:tcPr>
          <w:p>
            <w:pPr>
              <w:keepNext/>
            </w:pPr>
            <w:r>
              <w:rPr>
                <w:sz w:val="18"/>
              </w:rPr>
              <w:t>Hourly demand</w:t>
            </w:r>
          </w:p>
        </w:tc>
        <w:tc>
          <w:tcPr>
            <w:tcW w:type="dxa" w:w="3120"/>
          </w:tcPr>
          <w:p>
            <w:pPr>
              <w:keepNext/>
            </w:pPr>
            <w:r>
              <w:rPr>
                <w:sz w:val="18"/>
              </w:rPr>
              <w:t>EIA-930 Hourly Electric Grid Monitor, PJM, DOM sub-region</w:t>
            </w:r>
          </w:p>
        </w:tc>
        <w:tc>
          <w:tcPr>
            <w:tcW w:type="dxa" w:w="3120"/>
          </w:tcPr>
          <w:p>
            <w:pPr>
              <w:keepNext/>
            </w:pPr>
            <w:r>
              <w:rPr>
                <w:sz w:val="18"/>
              </w:rPr>
              <w:t>2019-01-01 to 2025-12-31</w:t>
            </w:r>
          </w:p>
        </w:tc>
      </w:tr>
      <w:tr>
        <w:trPr>
          <w:cantSplit w:val="true"/>
        </w:trPr>
        <w:tc>
          <w:tcPr>
            <w:tcW w:type="dxa" w:w="3120"/>
          </w:tcPr>
          <w:p>
            <w:pPr>
              <w:keepNext/>
            </w:pPr>
            <w:r>
              <w:rPr>
                <w:sz w:val="18"/>
              </w:rPr>
              <w:t>Weather</w:t>
            </w:r>
          </w:p>
        </w:tc>
        <w:tc>
          <w:tcPr>
            <w:tcW w:type="dxa" w:w="3120"/>
          </w:tcPr>
          <w:p>
            <w:pPr>
              <w:keepNext/>
            </w:pPr>
            <w:r>
              <w:rPr>
                <w:sz w:val="18"/>
              </w:rPr>
              <w:t>Meteostat / Open-Meteo, stations Dulles, Richmond, Norfolk</w:t>
            </w:r>
          </w:p>
        </w:tc>
        <w:tc>
          <w:tcPr>
            <w:tcW w:type="dxa" w:w="3120"/>
          </w:tcPr>
          <w:p>
            <w:pPr>
              <w:keepNext/>
            </w:pPr>
            <w:r>
              <w:rPr>
                <w:sz w:val="18"/>
              </w:rPr>
              <w:t>population-weighted hourly temperature</w:t>
            </w:r>
          </w:p>
        </w:tc>
      </w:tr>
      <w:tr>
        <w:trPr>
          <w:cantSplit w:val="true"/>
        </w:trPr>
        <w:tc>
          <w:tcPr>
            <w:tcW w:type="dxa" w:w="3120"/>
          </w:tcPr>
          <w:p>
            <w:pPr>
              <w:keepNext/>
            </w:pPr>
            <w:r>
              <w:rPr>
                <w:sz w:val="18"/>
              </w:rPr>
              <w:t>Historical data center load</w:t>
            </w:r>
          </w:p>
        </w:tc>
        <w:tc>
          <w:tcPr>
            <w:tcW w:type="dxa" w:w="3120"/>
          </w:tcPr>
          <w:p>
            <w:pPr>
              <w:keepNext/>
            </w:pPr>
            <w:r>
              <w:rPr>
                <w:sz w:val="18"/>
              </w:rPr>
              <w:t>Utility investor disclosures and regulatory filings</w:t>
            </w:r>
          </w:p>
        </w:tc>
        <w:tc>
          <w:tcPr>
            <w:tcW w:type="dxa" w:w="3120"/>
          </w:tcPr>
          <w:p>
            <w:pPr>
              <w:keepNext/>
            </w:pPr>
            <w:r>
              <w:rPr>
                <w:sz w:val="18"/>
              </w:rPr>
              <w:t>cumulative connected MW by year</w:t>
            </w:r>
          </w:p>
        </w:tc>
      </w:tr>
      <w:tr>
        <w:trPr>
          <w:cantSplit w:val="true"/>
        </w:trPr>
        <w:tc>
          <w:tcPr>
            <w:tcW w:type="dxa" w:w="3120"/>
          </w:tcPr>
          <w:p>
            <w:pPr>
              <w:keepNext/>
            </w:pPr>
            <w:r>
              <w:rPr>
                <w:sz w:val="18"/>
              </w:rPr>
              <w:t>Project pipeline</w:t>
            </w:r>
          </w:p>
        </w:tc>
        <w:tc>
          <w:tcPr>
            <w:tcW w:type="dxa" w:w="3120"/>
          </w:tcPr>
          <w:p>
            <w:pPr>
              <w:keepNext/>
            </w:pPr>
            <w:r>
              <w:rPr>
                <w:sz w:val="18"/>
              </w:rPr>
              <w:t>County planning records, utility disclosures, company releases, trade press</w:t>
            </w:r>
          </w:p>
        </w:tc>
        <w:tc>
          <w:tcPr>
            <w:tcW w:type="dxa" w:w="3120"/>
          </w:tcPr>
          <w:p>
            <w:pPr>
              <w:keepNext/>
            </w:pPr>
            <w:r>
              <w:rPr>
                <w:sz w:val="18"/>
              </w:rPr>
              <w:t>46 de-duplicated projects</w:t>
            </w:r>
          </w:p>
        </w:tc>
      </w:tr>
      <w:tr>
        <w:trPr>
          <w:cantSplit w:val="true"/>
        </w:trPr>
        <w:tc>
          <w:tcPr>
            <w:tcW w:type="dxa" w:w="3120"/>
          </w:tcPr>
          <w:p>
            <w:pPr>
              <w:keepNext/>
            </w:pPr>
            <w:r>
              <w:rPr>
                <w:sz w:val="18"/>
              </w:rPr>
              <w:t>Accreditation and reserve requirement</w:t>
            </w:r>
          </w:p>
        </w:tc>
        <w:tc>
          <w:tcPr>
            <w:tcW w:type="dxa" w:w="3120"/>
          </w:tcPr>
          <w:p>
            <w:pPr>
              <w:keepNext/>
            </w:pPr>
            <w:r>
              <w:rPr>
                <w:sz w:val="18"/>
              </w:rPr>
              <w:t>PJM ELCC class ratings and FPR/IRM for 2027/2028</w:t>
            </w:r>
          </w:p>
        </w:tc>
        <w:tc>
          <w:tcPr>
            <w:tcW w:type="dxa" w:w="3120"/>
          </w:tcPr>
          <w:p>
            <w:pPr>
              <w:keepNext/>
            </w:pPr>
            <w:r>
              <w:rPr>
                <w:sz w:val="18"/>
              </w:rPr>
              <w:t>Appendix A</w:t>
            </w:r>
          </w:p>
        </w:tc>
      </w:tr>
      <w:tr>
        <w:trPr>
          <w:cantSplit w:val="true"/>
        </w:trPr>
        <w:tc>
          <w:tcPr>
            <w:tcW w:type="dxa" w:w="3120"/>
          </w:tcPr>
          <w:p>
            <w:pPr>
              <w:keepNext/>
            </w:pPr>
            <w:r>
              <w:rPr>
                <w:sz w:val="18"/>
              </w:rPr>
              <w:t>Resource mix</w:t>
            </w:r>
          </w:p>
        </w:tc>
        <w:tc>
          <w:tcPr>
            <w:tcW w:type="dxa" w:w="3120"/>
          </w:tcPr>
          <w:p>
            <w:pPr>
              <w:keepNext/>
            </w:pPr>
            <w:r>
              <w:rPr>
                <w:sz w:val="18"/>
              </w:rPr>
              <w:t>Dominion 2024 Integrated Resource Plan (as reported by DiGangi)</w:t>
            </w:r>
          </w:p>
        </w:tc>
        <w:tc>
          <w:tcPr>
            <w:tcW w:type="dxa" w:w="3120"/>
          </w:tcPr>
          <w:p>
            <w:pPr>
              <w:keepNext/>
            </w:pPr>
            <w:r>
              <w:rPr>
                <w:sz w:val="18"/>
              </w:rPr>
              <w:t>Section 6.1</w:t>
            </w:r>
          </w:p>
        </w:tc>
      </w:tr>
      <w:tr>
        <w:trPr>
          <w:cantSplit w:val="true"/>
        </w:trPr>
        <w:tc>
          <w:tcPr>
            <w:tcW w:type="dxa" w:w="3120"/>
          </w:tcPr>
          <w:p>
            <w:pPr>
              <w:keepNext/>
            </w:pPr>
            <w:r>
              <w:rPr>
                <w:sz w:val="18"/>
              </w:rPr>
              <w:t>Capital and O&amp;M costs</w:t>
            </w:r>
          </w:p>
        </w:tc>
        <w:tc>
          <w:tcPr>
            <w:tcW w:type="dxa" w:w="3120"/>
          </w:tcPr>
          <w:p>
            <w:pPr>
              <w:keepNext/>
            </w:pPr>
            <w:r>
              <w:rPr>
                <w:sz w:val="18"/>
              </w:rPr>
              <w:t>EIA Annual Energy Outlook 2025 assumptions; GridLab (gas turbines)</w:t>
            </w:r>
          </w:p>
        </w:tc>
        <w:tc>
          <w:tcPr>
            <w:tcW w:type="dxa" w:w="3120"/>
          </w:tcPr>
          <w:p>
            <w:pPr>
              <w:keepNext/>
            </w:pPr>
            <w:r>
              <w:rPr>
                <w:sz w:val="18"/>
              </w:rPr>
              <w:t>2024 dollars, inflated</w:t>
            </w:r>
          </w:p>
        </w:tc>
      </w:tr>
      <w:tr>
        <w:trPr>
          <w:cantSplit w:val="true"/>
        </w:trPr>
        <w:tc>
          <w:tcPr>
            <w:tcW w:type="dxa" w:w="3120"/>
          </w:tcPr>
          <w:p>
            <w:pPr>
              <w:keepNext/>
            </w:pPr>
            <w:r>
              <w:rPr>
                <w:sz w:val="18"/>
              </w:rPr>
              <w:t>Financial parameters</w:t>
            </w:r>
          </w:p>
        </w:tc>
        <w:tc>
          <w:tcPr>
            <w:tcW w:type="dxa" w:w="3120"/>
          </w:tcPr>
          <w:p>
            <w:pPr>
              <w:keepNext/>
            </w:pPr>
            <w:r>
              <w:rPr>
                <w:sz w:val="18"/>
              </w:rPr>
              <w:t>SCC final order PUR-2025-00058; statutory tax rates</w:t>
            </w:r>
          </w:p>
        </w:tc>
        <w:tc>
          <w:tcPr>
            <w:tcW w:type="dxa" w:w="3120"/>
          </w:tcPr>
          <w:p>
            <w:pPr>
              <w:keepNext/>
            </w:pPr>
            <w:r>
              <w:rPr>
                <w:sz w:val="18"/>
              </w:rPr>
              <w:t>ROE, equity ratio</w:t>
            </w:r>
          </w:p>
        </w:tc>
      </w:tr>
      <w:tr>
        <w:trPr>
          <w:cantSplit w:val="true"/>
        </w:trPr>
        <w:tc>
          <w:tcPr>
            <w:tcW w:type="dxa" w:w="3120"/>
          </w:tcPr>
          <w:p>
            <w:pPr>
              <w:keepNext/>
            </w:pPr>
            <w:r>
              <w:rPr>
                <w:sz w:val="18"/>
              </w:rPr>
              <w:t>Prices</w:t>
            </w:r>
          </w:p>
        </w:tc>
        <w:tc>
          <w:tcPr>
            <w:tcW w:type="dxa" w:w="3120"/>
          </w:tcPr>
          <w:p>
            <w:pPr>
              <w:keepNext/>
            </w:pPr>
            <w:r>
              <w:rPr>
                <w:sz w:val="18"/>
              </w:rPr>
              <w:t>EIA Virginia electricity profile; Monitoring Analytics State of the Market</w:t>
            </w:r>
          </w:p>
        </w:tc>
        <w:tc>
          <w:tcPr>
            <w:tcW w:type="dxa" w:w="3120"/>
          </w:tcPr>
          <w:p>
            <w:pPr>
              <w:keepNext/>
            </w:pPr>
            <w:r>
              <w:rPr>
                <w:sz w:val="18"/>
              </w:rPr>
              <w:t>retail rate, wholesale energy</w:t>
            </w:r>
          </w:p>
        </w:tc>
      </w:tr>
      <w:tr>
        <w:trPr>
          <w:cantSplit w:val="true"/>
        </w:trPr>
        <w:tc>
          <w:tcPr>
            <w:tcW w:type="dxa" w:w="3120"/>
          </w:tcPr>
          <w:p>
            <w:r>
              <w:rPr>
                <w:sz w:val="18"/>
              </w:rPr>
              <w:t>Benchmark forecasts</w:t>
            </w:r>
          </w:p>
        </w:tc>
        <w:tc>
          <w:tcPr>
            <w:tcW w:type="dxa" w:w="3120"/>
          </w:tcPr>
          <w:p>
            <w:r>
              <w:rPr>
                <w:sz w:val="18"/>
              </w:rPr>
              <w:t>PJM Long-Term Load Forecast; utility IRP</w:t>
            </w:r>
          </w:p>
        </w:tc>
        <w:tc>
          <w:tcPr>
            <w:tcW w:type="dxa" w:w="3120"/>
          </w:tcPr>
          <w:p>
            <w:r>
              <w:rPr>
                <w:sz w:val="18"/>
              </w:rPr>
              <w:t>zonal summer peak</w:t>
            </w:r>
          </w:p>
        </w:tc>
      </w:tr>
    </w:tbl>
    <w:p/>
    <w:p>
      <w:pPr>
        <w:pStyle w:val="Heading2"/>
      </w:pPr>
      <w:r>
        <w:t>Method choice and alternatives</w:t>
      </w:r>
    </w:p>
    <w:p>
      <w:r>
        <w:rPr>
          <w:b w:val="0"/>
          <w:i w:val="0"/>
        </w:rPr>
        <w:t>Public data and Monte Carlo simulation were chosen because every input can be audited and because data center load arrives as discrete, uncertain projects whose combined outcome is best described as a probability distribution. The alternatives considered were fixed scenarios alone (the standard utility planning approach), a top-down econometric model (rejected because data center load has too short a history to fit), and expert surveys. Because shared shocks such as an AI investment slowdown, equipment shortages, or local opposition would affect many projects at once, the simulation includes a common shock to build probabilities and timing in every draw (Section 5.2).</w:t>
      </w:r>
    </w:p>
    <w:p>
      <w:pPr>
        <w:pStyle w:val="Heading2"/>
      </w:pPr>
      <w:r>
        <w:t>Pipeline compilation and use of AI tools</w:t>
      </w:r>
    </w:p>
    <w:p>
      <w:r>
        <w:rPr>
          <w:b w:val="0"/>
          <w:i w:val="0"/>
        </w:rPr>
        <w:t>Every pipeline row was compiled by hand from a public source, with the source URL and a verbatim capacity quote recorded (Appendix B). An AI assistant was used to help write the analysis code and to locate published sources. Every numeric input is either taken from a cited source or labeled as an assumption in Appendix A; the most influential assumptions are tested in Section 7.1.</w:t>
      </w:r>
    </w:p>
    <w:p>
      <w:pPr>
        <w:pStyle w:val="Heading1"/>
      </w:pPr>
      <w:r>
        <w:t>4. Baseline Load Forecast</w:t>
      </w:r>
    </w:p>
    <w:p>
      <w:pPr>
        <w:pStyle w:val="Heading2"/>
      </w:pPr>
      <w:r>
        <w:t>4.1 Removing historical data center load</w:t>
      </w:r>
    </w:p>
    <w:p>
      <w:r>
        <w:rPr>
          <w:b w:val="0"/>
          <w:i w:val="0"/>
        </w:rPr>
        <w:t>Historical system load already embeds several gigawatts of data center demand. Extrapolating the raw trend would therefore double count growth that is later added from the pipeline. We subtract the disclosed cumulative connected data center capacity (× 0.80 load factor) from each year's daily peak and energy before fitting, producing an organic series. In the forecast, data centers already connected (5,866 MW as of 2025) are held constant and form part of the counterfactual; energized projects are excluded from the pipeline overlay so they are counted exactly once.</w:t>
      </w:r>
    </w:p>
    <w:p>
      <w:pPr>
        <w:keepNext/>
      </w:pPr>
      <w:r>
        <w:rPr>
          <w:b w:val="0"/>
          <w:i/>
          <w:sz w:val="18"/>
        </w:rPr>
        <w:t>Table 3. Historical cumulative connected data center capacity (MW)</w:t>
      </w:r>
    </w:p>
    <w:tbl>
      <w:tblPr>
        <w:tblStyle w:val="TableGrid"/>
        <w:tblW w:type="auto" w:w="0"/>
        <w:jc w:val="center"/>
        <w:tblLook w:firstColumn="1" w:firstRow="1" w:lastColumn="0" w:lastRow="0" w:noHBand="0" w:noVBand="1" w:val="04A0"/>
      </w:tblPr>
      <w:tblGrid>
        <w:gridCol w:w="3120"/>
        <w:gridCol w:w="3120"/>
        <w:gridCol w:w="3120"/>
      </w:tblGrid>
      <w:tr>
        <w:trPr>
          <w:cantSplit w:val="true"/>
          <w:tblHeader w:val="true"/>
        </w:trPr>
        <w:tc>
          <w:tcPr>
            <w:tcW w:type="dxa" w:w="3120"/>
            <w:shd w:val="clear" w:color="auto" w:fill="DCE6F1"/>
          </w:tcPr>
          <w:p>
            <w:pPr>
              <w:keepNext/>
            </w:pPr>
            <w:r>
              <w:rPr>
                <w:b/>
                <w:sz w:val="17"/>
              </w:rPr>
              <w:t>Year</w:t>
            </w:r>
          </w:p>
        </w:tc>
        <w:tc>
          <w:tcPr>
            <w:tcW w:type="dxa" w:w="3120"/>
            <w:shd w:val="clear" w:color="auto" w:fill="DCE6F1"/>
          </w:tcPr>
          <w:p>
            <w:pPr>
              <w:keepNext/>
            </w:pPr>
            <w:r>
              <w:rPr>
                <w:b/>
                <w:sz w:val="17"/>
              </w:rPr>
              <w:t>Connected MW</w:t>
            </w:r>
          </w:p>
        </w:tc>
        <w:tc>
          <w:tcPr>
            <w:tcW w:type="dxa" w:w="3120"/>
            <w:shd w:val="clear" w:color="auto" w:fill="DCE6F1"/>
          </w:tcPr>
          <w:p>
            <w:pPr>
              <w:keepNext/>
            </w:pPr>
            <w:r>
              <w:rPr>
                <w:b/>
                <w:sz w:val="17"/>
              </w:rPr>
              <w:t>Source</w:t>
            </w:r>
          </w:p>
        </w:tc>
      </w:tr>
      <w:tr>
        <w:trPr>
          <w:cantSplit w:val="true"/>
        </w:trPr>
        <w:tc>
          <w:tcPr>
            <w:tcW w:type="dxa" w:w="3120"/>
          </w:tcPr>
          <w:p>
            <w:pPr>
              <w:keepNext/>
            </w:pPr>
            <w:r>
              <w:rPr>
                <w:sz w:val="17"/>
              </w:rPr>
              <w:t>2018</w:t>
            </w:r>
          </w:p>
        </w:tc>
        <w:tc>
          <w:tcPr>
            <w:tcW w:type="dxa" w:w="3120"/>
          </w:tcPr>
          <w:p>
            <w:pPr>
              <w:keepNext/>
            </w:pPr>
            <w:r>
              <w:rPr>
                <w:sz w:val="17"/>
              </w:rPr>
              <w:t>0</w:t>
            </w:r>
          </w:p>
        </w:tc>
        <w:tc>
          <w:tcPr>
            <w:tcW w:type="dxa" w:w="3120"/>
          </w:tcPr>
          <w:p>
            <w:pPr>
              <w:keepNext/>
            </w:pPr>
            <w:r>
              <w:rPr>
                <w:sz w:val="17"/>
              </w:rPr>
              <w:t>Definition (additions measured from end of 2018)</w:t>
            </w:r>
          </w:p>
        </w:tc>
      </w:tr>
      <w:tr>
        <w:trPr>
          <w:cantSplit w:val="true"/>
        </w:trPr>
        <w:tc>
          <w:tcPr>
            <w:tcW w:type="dxa" w:w="3120"/>
          </w:tcPr>
          <w:p>
            <w:pPr>
              <w:keepNext/>
            </w:pPr>
            <w:r>
              <w:rPr>
                <w:sz w:val="17"/>
              </w:rPr>
              <w:t>2022</w:t>
            </w:r>
          </w:p>
        </w:tc>
        <w:tc>
          <w:tcPr>
            <w:tcW w:type="dxa" w:w="3120"/>
          </w:tcPr>
          <w:p>
            <w:pPr>
              <w:keepNext/>
            </w:pPr>
            <w:r>
              <w:rPr>
                <w:sz w:val="17"/>
              </w:rPr>
              <w:t>3,067</w:t>
            </w:r>
          </w:p>
        </w:tc>
        <w:tc>
          <w:tcPr>
            <w:tcW w:type="dxa" w:w="3120"/>
          </w:tcPr>
          <w:p>
            <w:pPr>
              <w:keepNext/>
            </w:pPr>
            <w:r>
              <w:rPr>
                <w:sz w:val="17"/>
              </w:rPr>
              <w:t>Swinhoe (DCD), author's calculation: &gt;4,000 MW connected 2019-2023 minus 933 MW connected in 2023</w:t>
            </w:r>
          </w:p>
        </w:tc>
      </w:tr>
      <w:tr>
        <w:trPr>
          <w:cantSplit w:val="true"/>
        </w:trPr>
        <w:tc>
          <w:tcPr>
            <w:tcW w:type="dxa" w:w="3120"/>
          </w:tcPr>
          <w:p>
            <w:pPr>
              <w:keepNext/>
            </w:pPr>
            <w:r>
              <w:rPr>
                <w:sz w:val="17"/>
              </w:rPr>
              <w:t>2023</w:t>
            </w:r>
          </w:p>
        </w:tc>
        <w:tc>
          <w:tcPr>
            <w:tcW w:type="dxa" w:w="3120"/>
          </w:tcPr>
          <w:p>
            <w:pPr>
              <w:keepNext/>
            </w:pPr>
            <w:r>
              <w:rPr>
                <w:sz w:val="17"/>
              </w:rPr>
              <w:t>4,000</w:t>
            </w:r>
          </w:p>
        </w:tc>
        <w:tc>
          <w:tcPr>
            <w:tcW w:type="dxa" w:w="3120"/>
          </w:tcPr>
          <w:p>
            <w:pPr>
              <w:keepNext/>
            </w:pPr>
            <w:r>
              <w:rPr>
                <w:sz w:val="17"/>
              </w:rPr>
              <w:t>Swinhoe (DCD): 94 data centers, more than 4 GW connected 2019-2023</w:t>
            </w:r>
          </w:p>
        </w:tc>
      </w:tr>
      <w:tr>
        <w:trPr>
          <w:cantSplit w:val="true"/>
        </w:trPr>
        <w:tc>
          <w:tcPr>
            <w:tcW w:type="dxa" w:w="3120"/>
          </w:tcPr>
          <w:p>
            <w:pPr>
              <w:keepNext/>
            </w:pPr>
            <w:r>
              <w:rPr>
                <w:sz w:val="17"/>
              </w:rPr>
              <w:t>2024</w:t>
            </w:r>
          </w:p>
        </w:tc>
        <w:tc>
          <w:tcPr>
            <w:tcW w:type="dxa" w:w="3120"/>
          </w:tcPr>
          <w:p>
            <w:pPr>
              <w:keepNext/>
            </w:pPr>
            <w:r>
              <w:rPr>
                <w:sz w:val="17"/>
              </w:rPr>
              <w:t>4,933</w:t>
            </w:r>
          </w:p>
        </w:tc>
        <w:tc>
          <w:tcPr>
            <w:tcW w:type="dxa" w:w="3120"/>
          </w:tcPr>
          <w:p>
            <w:pPr>
              <w:keepNext/>
            </w:pPr>
            <w:r>
              <w:rPr>
                <w:sz w:val="17"/>
              </w:rPr>
              <w:t>ESTIMATE: 2023 pace (933 MW, 15 data centers) carried forward; Swinhoe (DCD) reports 15 more expected in 2024</w:t>
            </w:r>
          </w:p>
        </w:tc>
      </w:tr>
      <w:tr>
        <w:trPr>
          <w:cantSplit w:val="true"/>
        </w:trPr>
        <w:tc>
          <w:tcPr>
            <w:tcW w:type="dxa" w:w="3120"/>
          </w:tcPr>
          <w:p>
            <w:r>
              <w:rPr>
                <w:sz w:val="17"/>
              </w:rPr>
              <w:t>2025</w:t>
            </w:r>
          </w:p>
        </w:tc>
        <w:tc>
          <w:tcPr>
            <w:tcW w:type="dxa" w:w="3120"/>
          </w:tcPr>
          <w:p>
            <w:r>
              <w:rPr>
                <w:sz w:val="17"/>
              </w:rPr>
              <w:t>5,866</w:t>
            </w:r>
          </w:p>
        </w:tc>
        <w:tc>
          <w:tcPr>
            <w:tcW w:type="dxa" w:w="3120"/>
          </w:tcPr>
          <w:p>
            <w:r>
              <w:rPr>
                <w:sz w:val="17"/>
              </w:rPr>
              <w:t>ESTIMATE: 2023 pace (933 MW per year) carried forward</w:t>
            </w:r>
          </w:p>
        </w:tc>
      </w:tr>
    </w:tbl>
    <w:p/>
    <w:p>
      <w:pPr>
        <w:pStyle w:val="Heading2"/>
      </w:pPr>
      <w:r>
        <w:t>4.2 Model specification and validation</w:t>
      </w:r>
    </w:p>
    <w:p>
      <w:r>
        <w:rPr>
          <w:b w:val="0"/>
          <w:i w:val="0"/>
        </w:rPr>
        <w:t>Daily organic peak and energy are regressed on cooling and heating degree-days (base 65°F, linear and quadratic), day-of-week, federal holidays, and a linear time trend. The model is trained on data through 2023 and evaluated on 2024 onward. The fitted organic trend is -0.05% per year for peak and -0.40% per year for energy.</w:t>
      </w:r>
    </w:p>
    <w:p>
      <w:r>
        <w:rPr>
          <w:b w:val="0"/>
          <w:i w:val="0"/>
        </w:rPr>
        <w:t>On the holdout period the peak model achieves a daily MAPE of 5.05%, versus 14.33% for a seasonal-naïve benchmark and 16.77% for a trend-only model. The energy model's MAPE is 4.26%. Because the highest fitted day in a year sits below the actual annual peak (the actual peak day also carries a large positive residual), annual peak predictions add the average gap observed in the training years.</w:t>
      </w:r>
    </w:p>
    <w:p>
      <w:pPr>
        <w:keepNext/>
      </w:pPr>
      <w:r>
        <w:rPr>
          <w:b w:val="0"/>
          <w:i/>
          <w:sz w:val="18"/>
        </w:rPr>
        <w:t>Table 4. Holdout validation of the organic baseline models</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cantSplit w:val="true"/>
          <w:tblHeader w:val="true"/>
        </w:trPr>
        <w:tc>
          <w:tcPr>
            <w:tcW w:type="dxa" w:w="1560"/>
            <w:shd w:val="clear" w:color="auto" w:fill="DCE6F1"/>
          </w:tcPr>
          <w:p>
            <w:pPr>
              <w:keepNext/>
            </w:pPr>
            <w:r>
              <w:rPr>
                <w:b/>
                <w:sz w:val="17"/>
              </w:rPr>
              <w:t>Target</w:t>
            </w:r>
          </w:p>
        </w:tc>
        <w:tc>
          <w:tcPr>
            <w:tcW w:type="dxa" w:w="1560"/>
            <w:shd w:val="clear" w:color="auto" w:fill="DCE6F1"/>
          </w:tcPr>
          <w:p>
            <w:pPr>
              <w:keepNext/>
            </w:pPr>
            <w:r>
              <w:rPr>
                <w:b/>
                <w:sz w:val="17"/>
              </w:rPr>
              <w:t>Model MAPE %</w:t>
            </w:r>
          </w:p>
        </w:tc>
        <w:tc>
          <w:tcPr>
            <w:tcW w:type="dxa" w:w="1560"/>
            <w:shd w:val="clear" w:color="auto" w:fill="DCE6F1"/>
          </w:tcPr>
          <w:p>
            <w:pPr>
              <w:keepNext/>
            </w:pPr>
            <w:r>
              <w:rPr>
                <w:b/>
                <w:sz w:val="17"/>
              </w:rPr>
              <w:t>Seasonal-naïve MAPE %</w:t>
            </w:r>
          </w:p>
        </w:tc>
        <w:tc>
          <w:tcPr>
            <w:tcW w:type="dxa" w:w="1560"/>
            <w:shd w:val="clear" w:color="auto" w:fill="DCE6F1"/>
          </w:tcPr>
          <w:p>
            <w:pPr>
              <w:keepNext/>
            </w:pPr>
            <w:r>
              <w:rPr>
                <w:b/>
                <w:sz w:val="17"/>
              </w:rPr>
              <w:t>Trend-only MAPE %</w:t>
            </w:r>
          </w:p>
        </w:tc>
        <w:tc>
          <w:tcPr>
            <w:tcW w:type="dxa" w:w="1560"/>
            <w:shd w:val="clear" w:color="auto" w:fill="DCE6F1"/>
          </w:tcPr>
          <w:p>
            <w:pPr>
              <w:keepNext/>
            </w:pPr>
            <w:r>
              <w:rPr>
                <w:b/>
                <w:sz w:val="17"/>
              </w:rPr>
              <w:t>R² (train)</w:t>
            </w:r>
          </w:p>
        </w:tc>
        <w:tc>
          <w:tcPr>
            <w:tcW w:type="dxa" w:w="1560"/>
            <w:shd w:val="clear" w:color="auto" w:fill="DCE6F1"/>
          </w:tcPr>
          <w:p>
            <w:pPr>
              <w:keepNext/>
            </w:pPr>
            <w:r>
              <w:rPr>
                <w:b/>
                <w:sz w:val="17"/>
              </w:rPr>
              <w:t>Trend %/yr</w:t>
            </w:r>
          </w:p>
        </w:tc>
      </w:tr>
      <w:tr>
        <w:trPr>
          <w:cantSplit w:val="true"/>
        </w:trPr>
        <w:tc>
          <w:tcPr>
            <w:tcW w:type="dxa" w:w="1560"/>
          </w:tcPr>
          <w:p>
            <w:pPr>
              <w:keepNext/>
            </w:pPr>
            <w:r>
              <w:rPr>
                <w:sz w:val="17"/>
              </w:rPr>
              <w:t>Daily peak</w:t>
            </w:r>
          </w:p>
        </w:tc>
        <w:tc>
          <w:tcPr>
            <w:tcW w:type="dxa" w:w="1560"/>
          </w:tcPr>
          <w:p>
            <w:pPr>
              <w:keepNext/>
            </w:pPr>
            <w:r>
              <w:rPr>
                <w:sz w:val="17"/>
              </w:rPr>
              <w:t>5.05</w:t>
            </w:r>
          </w:p>
        </w:tc>
        <w:tc>
          <w:tcPr>
            <w:tcW w:type="dxa" w:w="1560"/>
          </w:tcPr>
          <w:p>
            <w:pPr>
              <w:keepNext/>
            </w:pPr>
            <w:r>
              <w:rPr>
                <w:sz w:val="17"/>
              </w:rPr>
              <w:t>14.33</w:t>
            </w:r>
          </w:p>
        </w:tc>
        <w:tc>
          <w:tcPr>
            <w:tcW w:type="dxa" w:w="1560"/>
          </w:tcPr>
          <w:p>
            <w:pPr>
              <w:keepNext/>
            </w:pPr>
            <w:r>
              <w:rPr>
                <w:sz w:val="17"/>
              </w:rPr>
              <w:t>16.77</w:t>
            </w:r>
          </w:p>
        </w:tc>
        <w:tc>
          <w:tcPr>
            <w:tcW w:type="dxa" w:w="1560"/>
          </w:tcPr>
          <w:p>
            <w:pPr>
              <w:keepNext/>
            </w:pPr>
            <w:r>
              <w:rPr>
                <w:sz w:val="17"/>
              </w:rPr>
              <w:t>0.907</w:t>
            </w:r>
          </w:p>
        </w:tc>
        <w:tc>
          <w:tcPr>
            <w:tcW w:type="dxa" w:w="1560"/>
          </w:tcPr>
          <w:p>
            <w:pPr>
              <w:keepNext/>
            </w:pPr>
            <w:r>
              <w:rPr>
                <w:sz w:val="17"/>
              </w:rPr>
              <w:t>-0.05</w:t>
            </w:r>
          </w:p>
        </w:tc>
      </w:tr>
      <w:tr>
        <w:trPr>
          <w:cantSplit w:val="true"/>
        </w:trPr>
        <w:tc>
          <w:tcPr>
            <w:tcW w:type="dxa" w:w="1560"/>
          </w:tcPr>
          <w:p>
            <w:r>
              <w:rPr>
                <w:sz w:val="17"/>
              </w:rPr>
              <w:t>Daily energy</w:t>
            </w:r>
          </w:p>
        </w:tc>
        <w:tc>
          <w:tcPr>
            <w:tcW w:type="dxa" w:w="1560"/>
          </w:tcPr>
          <w:p>
            <w:r>
              <w:rPr>
                <w:sz w:val="17"/>
              </w:rPr>
              <w:t>4.26</w:t>
            </w:r>
          </w:p>
        </w:tc>
        <w:tc>
          <w:tcPr>
            <w:tcW w:type="dxa" w:w="1560"/>
          </w:tcPr>
          <w:p>
            <w:r>
              <w:rPr>
                <w:sz w:val="17"/>
              </w:rPr>
              <w:t>12.03</w:t>
            </w:r>
          </w:p>
        </w:tc>
        <w:tc>
          <w:tcPr>
            <w:tcW w:type="dxa" w:w="1560"/>
          </w:tcPr>
          <w:p>
            <w:r>
              <w:rPr>
                <w:sz w:val="17"/>
              </w:rPr>
              <w:t>14.80</w:t>
            </w:r>
          </w:p>
        </w:tc>
        <w:tc>
          <w:tcPr>
            <w:tcW w:type="dxa" w:w="1560"/>
          </w:tcPr>
          <w:p>
            <w:r>
              <w:rPr>
                <w:sz w:val="17"/>
              </w:rPr>
              <w:t>0.921</w:t>
            </w:r>
          </w:p>
        </w:tc>
        <w:tc>
          <w:tcPr>
            <w:tcW w:type="dxa" w:w="1560"/>
          </w:tcPr>
          <w:p>
            <w:r>
              <w:rPr>
                <w:sz w:val="17"/>
              </w:rPr>
              <w:t>-0.40</w:t>
            </w:r>
          </w:p>
        </w:tc>
      </w:tr>
    </w:tbl>
    <w:p/>
    <w:p>
      <w:pPr>
        <w:keepNext/>
      </w:pPr>
      <w:r>
        <w:rPr>
          <w:b w:val="0"/>
          <w:i/>
          <w:sz w:val="18"/>
        </w:rPr>
        <w:t>Table 5. Annual organic peak, holdout years</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cantSplit w:val="true"/>
          <w:tblHeader w:val="true"/>
        </w:trPr>
        <w:tc>
          <w:tcPr>
            <w:tcW w:type="dxa" w:w="1872"/>
            <w:shd w:val="clear" w:color="auto" w:fill="DCE6F1"/>
          </w:tcPr>
          <w:p>
            <w:pPr>
              <w:keepNext/>
            </w:pPr>
            <w:r>
              <w:rPr>
                <w:b/>
                <w:sz w:val="17"/>
              </w:rPr>
              <w:t>Year</w:t>
            </w:r>
          </w:p>
        </w:tc>
        <w:tc>
          <w:tcPr>
            <w:tcW w:type="dxa" w:w="1872"/>
            <w:shd w:val="clear" w:color="auto" w:fill="DCE6F1"/>
          </w:tcPr>
          <w:p>
            <w:pPr>
              <w:keepNext/>
            </w:pPr>
            <w:r>
              <w:rPr>
                <w:b/>
                <w:sz w:val="17"/>
              </w:rPr>
              <w:t>Actual annual peak MW</w:t>
            </w:r>
          </w:p>
        </w:tc>
        <w:tc>
          <w:tcPr>
            <w:tcW w:type="dxa" w:w="1872"/>
            <w:shd w:val="clear" w:color="auto" w:fill="DCE6F1"/>
          </w:tcPr>
          <w:p>
            <w:pPr>
              <w:keepNext/>
            </w:pPr>
            <w:r>
              <w:rPr>
                <w:b/>
                <w:sz w:val="17"/>
              </w:rPr>
              <w:t>Max fitted day MW</w:t>
            </w:r>
          </w:p>
        </w:tc>
        <w:tc>
          <w:tcPr>
            <w:tcW w:type="dxa" w:w="1872"/>
            <w:shd w:val="clear" w:color="auto" w:fill="DCE6F1"/>
          </w:tcPr>
          <w:p>
            <w:pPr>
              <w:keepNext/>
            </w:pPr>
            <w:r>
              <w:rPr>
                <w:b/>
                <w:sz w:val="17"/>
              </w:rPr>
              <w:t>Predicted annual peak MW</w:t>
            </w:r>
          </w:p>
        </w:tc>
        <w:tc>
          <w:tcPr>
            <w:tcW w:type="dxa" w:w="1872"/>
            <w:shd w:val="clear" w:color="auto" w:fill="DCE6F1"/>
          </w:tcPr>
          <w:p>
            <w:pPr>
              <w:keepNext/>
            </w:pPr>
            <w:r>
              <w:rPr>
                <w:b/>
                <w:sz w:val="17"/>
              </w:rPr>
              <w:t>Error %</w:t>
            </w:r>
          </w:p>
        </w:tc>
      </w:tr>
      <w:tr>
        <w:trPr>
          <w:cantSplit w:val="true"/>
        </w:trPr>
        <w:tc>
          <w:tcPr>
            <w:tcW w:type="dxa" w:w="1872"/>
          </w:tcPr>
          <w:p>
            <w:pPr>
              <w:keepNext/>
            </w:pPr>
            <w:r>
              <w:rPr>
                <w:sz w:val="17"/>
              </w:rPr>
              <w:t>2024</w:t>
            </w:r>
          </w:p>
        </w:tc>
        <w:tc>
          <w:tcPr>
            <w:tcW w:type="dxa" w:w="1872"/>
          </w:tcPr>
          <w:p>
            <w:pPr>
              <w:keepNext/>
            </w:pPr>
            <w:r>
              <w:rPr>
                <w:sz w:val="17"/>
              </w:rPr>
              <w:t>19,274</w:t>
            </w:r>
          </w:p>
        </w:tc>
        <w:tc>
          <w:tcPr>
            <w:tcW w:type="dxa" w:w="1872"/>
          </w:tcPr>
          <w:p>
            <w:pPr>
              <w:keepNext/>
            </w:pPr>
            <w:r>
              <w:rPr>
                <w:sz w:val="17"/>
              </w:rPr>
              <w:t>18,933</w:t>
            </w:r>
          </w:p>
        </w:tc>
        <w:tc>
          <w:tcPr>
            <w:tcW w:type="dxa" w:w="1872"/>
          </w:tcPr>
          <w:p>
            <w:pPr>
              <w:keepNext/>
            </w:pPr>
            <w:r>
              <w:rPr>
                <w:sz w:val="17"/>
              </w:rPr>
              <w:t>18,530</w:t>
            </w:r>
          </w:p>
        </w:tc>
        <w:tc>
          <w:tcPr>
            <w:tcW w:type="dxa" w:w="1872"/>
          </w:tcPr>
          <w:p>
            <w:pPr>
              <w:keepNext/>
            </w:pPr>
            <w:r>
              <w:rPr>
                <w:sz w:val="17"/>
              </w:rPr>
              <w:t>3.9</w:t>
            </w:r>
          </w:p>
        </w:tc>
      </w:tr>
      <w:tr>
        <w:trPr>
          <w:cantSplit w:val="true"/>
        </w:trPr>
        <w:tc>
          <w:tcPr>
            <w:tcW w:type="dxa" w:w="1872"/>
          </w:tcPr>
          <w:p>
            <w:r>
              <w:rPr>
                <w:sz w:val="17"/>
              </w:rPr>
              <w:t>2025</w:t>
            </w:r>
          </w:p>
        </w:tc>
        <w:tc>
          <w:tcPr>
            <w:tcW w:type="dxa" w:w="1872"/>
          </w:tcPr>
          <w:p>
            <w:r>
              <w:rPr>
                <w:sz w:val="17"/>
              </w:rPr>
              <w:t>20,264</w:t>
            </w:r>
          </w:p>
        </w:tc>
        <w:tc>
          <w:tcPr>
            <w:tcW w:type="dxa" w:w="1872"/>
          </w:tcPr>
          <w:p>
            <w:r>
              <w:rPr>
                <w:sz w:val="17"/>
              </w:rPr>
              <w:t>21,306</w:t>
            </w:r>
          </w:p>
        </w:tc>
        <w:tc>
          <w:tcPr>
            <w:tcW w:type="dxa" w:w="1872"/>
          </w:tcPr>
          <w:p>
            <w:r>
              <w:rPr>
                <w:sz w:val="17"/>
              </w:rPr>
              <w:t>20,903</w:t>
            </w:r>
          </w:p>
        </w:tc>
        <w:tc>
          <w:tcPr>
            <w:tcW w:type="dxa" w:w="1872"/>
          </w:tcPr>
          <w:p>
            <w:r>
              <w:rPr>
                <w:sz w:val="17"/>
              </w:rPr>
              <w:t>3.2</w:t>
            </w:r>
          </w:p>
        </w:tc>
      </w:tr>
    </w:tbl>
    <w:p/>
    <w:p>
      <w:pPr>
        <w:jc w:val="center"/>
      </w:pPr>
      <w:r>
        <w:drawing>
          <wp:inline xmlns:a="http://schemas.openxmlformats.org/drawingml/2006/main" xmlns:pic="http://schemas.openxmlformats.org/drawingml/2006/picture">
            <wp:extent cx="5486400" cy="2194560"/>
            <wp:docPr id="2" name="Picture 2"/>
            <wp:cNvGraphicFramePr>
              <a:graphicFrameLocks noChangeAspect="1"/>
            </wp:cNvGraphicFramePr>
            <a:graphic>
              <a:graphicData uri="http://schemas.openxmlformats.org/drawingml/2006/picture">
                <pic:pic>
                  <pic:nvPicPr>
                    <pic:cNvPr id="0" name="baseline_residuals.png"/>
                    <pic:cNvPicPr/>
                  </pic:nvPicPr>
                  <pic:blipFill>
                    <a:blip r:embed="rId11"/>
                    <a:stretch>
                      <a:fillRect/>
                    </a:stretch>
                  </pic:blipFill>
                  <pic:spPr>
                    <a:xfrm>
                      <a:off x="0" y="0"/>
                      <a:ext cx="5486400" cy="2194560"/>
                    </a:xfrm>
                    <a:prstGeom prst="rect"/>
                  </pic:spPr>
                </pic:pic>
              </a:graphicData>
            </a:graphic>
          </wp:inline>
        </w:drawing>
      </w:r>
    </w:p>
    <w:p>
      <w:pPr>
        <w:jc w:val="center"/>
      </w:pPr>
      <w:r>
        <w:rPr>
          <w:b w:val="0"/>
          <w:i/>
          <w:sz w:val="18"/>
        </w:rPr>
        <w:t>Figure 2. Holdout residuals of the daily organic peak model: residual vs fitted (left) and mean residual by month (right).</w:t>
      </w:r>
    </w:p>
    <w:p>
      <w:r>
        <w:rPr>
          <w:b w:val="0"/>
          <w:i w:val="0"/>
        </w:rPr>
        <w:t>Mean monthly residuals reach ±5.8% of peak, and 4 month(s) show bias larger than chance would explain (the largest, April (-5.8% of peak)). Adding month indicators to the model is the natural next refinement.</w:t>
      </w:r>
    </w:p>
    <w:p>
      <w:pPr>
        <w:pStyle w:val="Heading2"/>
      </w:pPr>
      <w:r>
        <w:t>4.3 Normal-weather projection</w:t>
      </w:r>
    </w:p>
    <w:p>
      <w:r>
        <w:rPr>
          <w:b w:val="0"/>
          <w:i w:val="0"/>
        </w:rPr>
        <w:t>Each projection year is simulated under every historical weather year (7 years) and the results are averaged, so heat waves that set the annual peak are preserved rather than smoothed away by averaging temperatures first. The 90th percentile across weather years gives a hot-year range. The counterfactual baseline (organic load plus existing data center load held flat) reaches 23,887 MW in 2035.</w:t>
      </w:r>
    </w:p>
    <w:p>
      <w:pPr>
        <w:jc w:val="center"/>
      </w:pPr>
      <w:r>
        <w:drawing>
          <wp:inline xmlns:a="http://schemas.openxmlformats.org/drawingml/2006/main" xmlns:pic="http://schemas.openxmlformats.org/drawingml/2006/picture">
            <wp:extent cx="5486400" cy="2743200"/>
            <wp:docPr id="3" name="Picture 3"/>
            <wp:cNvGraphicFramePr>
              <a:graphicFrameLocks noChangeAspect="1"/>
            </wp:cNvGraphicFramePr>
            <a:graphic>
              <a:graphicData uri="http://schemas.openxmlformats.org/drawingml/2006/picture">
                <pic:pic>
                  <pic:nvPicPr>
                    <pic:cNvPr id="0" name="baseline_peak.png"/>
                    <pic:cNvPicPr/>
                  </pic:nvPicPr>
                  <pic:blipFill>
                    <a:blip r:embed="rId12"/>
                    <a:stretch>
                      <a:fillRect/>
                    </a:stretch>
                  </pic:blipFill>
                  <pic:spPr>
                    <a:xfrm>
                      <a:off x="0" y="0"/>
                      <a:ext cx="5486400" cy="2743200"/>
                    </a:xfrm>
                    <a:prstGeom prst="rect"/>
                  </pic:spPr>
                </pic:pic>
              </a:graphicData>
            </a:graphic>
          </wp:inline>
        </w:drawing>
      </w:r>
    </w:p>
    <w:p>
      <w:pPr>
        <w:jc w:val="center"/>
      </w:pPr>
      <w:r>
        <w:rPr>
          <w:b w:val="0"/>
          <w:i/>
          <w:sz w:val="18"/>
        </w:rPr>
        <w:t>Figure 3. Historical system and organic peak, with normal-weather organic projection and counterfactual baseline.</w:t>
      </w:r>
    </w:p>
    <w:p>
      <w:pPr>
        <w:keepNext/>
      </w:pPr>
      <w:r>
        <w:rPr>
          <w:b w:val="0"/>
          <w:i/>
          <w:sz w:val="18"/>
        </w:rPr>
        <w:t>Table 6. Counterfactual baseline by year</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cantSplit w:val="true"/>
          <w:tblHeader w:val="true"/>
        </w:trPr>
        <w:tc>
          <w:tcPr>
            <w:tcW w:type="dxa" w:w="1560"/>
            <w:shd w:val="clear" w:color="auto" w:fill="DCE6F1"/>
          </w:tcPr>
          <w:p>
            <w:pPr>
              <w:keepNext/>
            </w:pPr>
            <w:r>
              <w:rPr>
                <w:b/>
                <w:sz w:val="17"/>
              </w:rPr>
              <w:t>Year</w:t>
            </w:r>
          </w:p>
        </w:tc>
        <w:tc>
          <w:tcPr>
            <w:tcW w:type="dxa" w:w="1560"/>
            <w:shd w:val="clear" w:color="auto" w:fill="DCE6F1"/>
          </w:tcPr>
          <w:p>
            <w:pPr>
              <w:keepNext/>
            </w:pPr>
            <w:r>
              <w:rPr>
                <w:b/>
                <w:sz w:val="17"/>
              </w:rPr>
              <w:t>Organic peak MW</w:t>
            </w:r>
          </w:p>
        </w:tc>
        <w:tc>
          <w:tcPr>
            <w:tcW w:type="dxa" w:w="1560"/>
            <w:shd w:val="clear" w:color="auto" w:fill="DCE6F1"/>
          </w:tcPr>
          <w:p>
            <w:pPr>
              <w:keepNext/>
            </w:pPr>
            <w:r>
              <w:rPr>
                <w:b/>
                <w:sz w:val="17"/>
              </w:rPr>
              <w:t>Organic hot-year (P90) MW</w:t>
            </w:r>
          </w:p>
        </w:tc>
        <w:tc>
          <w:tcPr>
            <w:tcW w:type="dxa" w:w="1560"/>
            <w:shd w:val="clear" w:color="auto" w:fill="DCE6F1"/>
          </w:tcPr>
          <w:p>
            <w:pPr>
              <w:keepNext/>
            </w:pPr>
            <w:r>
              <w:rPr>
                <w:b/>
                <w:sz w:val="17"/>
              </w:rPr>
              <w:t>Existing data centers MW</w:t>
            </w:r>
          </w:p>
        </w:tc>
        <w:tc>
          <w:tcPr>
            <w:tcW w:type="dxa" w:w="1560"/>
            <w:shd w:val="clear" w:color="auto" w:fill="DCE6F1"/>
          </w:tcPr>
          <w:p>
            <w:pPr>
              <w:keepNext/>
            </w:pPr>
            <w:r>
              <w:rPr>
                <w:b/>
                <w:sz w:val="17"/>
              </w:rPr>
              <w:t>Baseline peak MW</w:t>
            </w:r>
          </w:p>
        </w:tc>
        <w:tc>
          <w:tcPr>
            <w:tcW w:type="dxa" w:w="1560"/>
            <w:shd w:val="clear" w:color="auto" w:fill="DCE6F1"/>
          </w:tcPr>
          <w:p>
            <w:pPr>
              <w:keepNext/>
            </w:pPr>
            <w:r>
              <w:rPr>
                <w:b/>
                <w:sz w:val="17"/>
              </w:rPr>
              <w:t>Baseline energy GWh</w:t>
            </w:r>
          </w:p>
        </w:tc>
      </w:tr>
      <w:tr>
        <w:trPr>
          <w:cantSplit w:val="true"/>
        </w:trPr>
        <w:tc>
          <w:tcPr>
            <w:tcW w:type="dxa" w:w="1560"/>
          </w:tcPr>
          <w:p>
            <w:pPr>
              <w:keepNext/>
            </w:pPr>
            <w:r>
              <w:rPr>
                <w:sz w:val="17"/>
              </w:rPr>
              <w:t>2025</w:t>
            </w:r>
          </w:p>
        </w:tc>
        <w:tc>
          <w:tcPr>
            <w:tcW w:type="dxa" w:w="1560"/>
          </w:tcPr>
          <w:p>
            <w:pPr>
              <w:keepNext/>
            </w:pPr>
            <w:r>
              <w:rPr>
                <w:sz w:val="17"/>
              </w:rPr>
              <w:t>19,591</w:t>
            </w:r>
          </w:p>
        </w:tc>
        <w:tc>
          <w:tcPr>
            <w:tcW w:type="dxa" w:w="1560"/>
          </w:tcPr>
          <w:p>
            <w:pPr>
              <w:keepNext/>
            </w:pPr>
            <w:r>
              <w:rPr>
                <w:sz w:val="17"/>
              </w:rPr>
              <w:t>21,119</w:t>
            </w:r>
          </w:p>
        </w:tc>
        <w:tc>
          <w:tcPr>
            <w:tcW w:type="dxa" w:w="1560"/>
          </w:tcPr>
          <w:p>
            <w:pPr>
              <w:keepNext/>
            </w:pPr>
            <w:r>
              <w:rPr>
                <w:sz w:val="17"/>
              </w:rPr>
              <w:t>5,866</w:t>
            </w:r>
          </w:p>
        </w:tc>
        <w:tc>
          <w:tcPr>
            <w:tcW w:type="dxa" w:w="1560"/>
          </w:tcPr>
          <w:p>
            <w:pPr>
              <w:keepNext/>
            </w:pPr>
            <w:r>
              <w:rPr>
                <w:sz w:val="17"/>
              </w:rPr>
              <w:t>24,283</w:t>
            </w:r>
          </w:p>
        </w:tc>
        <w:tc>
          <w:tcPr>
            <w:tcW w:type="dxa" w:w="1560"/>
          </w:tcPr>
          <w:p>
            <w:pPr>
              <w:keepNext/>
            </w:pPr>
            <w:r>
              <w:rPr>
                <w:sz w:val="17"/>
              </w:rPr>
              <w:t>132,490</w:t>
            </w:r>
          </w:p>
        </w:tc>
      </w:tr>
      <w:tr>
        <w:trPr>
          <w:cantSplit w:val="true"/>
        </w:trPr>
        <w:tc>
          <w:tcPr>
            <w:tcW w:type="dxa" w:w="1560"/>
          </w:tcPr>
          <w:p>
            <w:pPr>
              <w:keepNext/>
            </w:pPr>
            <w:r>
              <w:rPr>
                <w:sz w:val="17"/>
              </w:rPr>
              <w:t>2026</w:t>
            </w:r>
          </w:p>
        </w:tc>
        <w:tc>
          <w:tcPr>
            <w:tcW w:type="dxa" w:w="1560"/>
          </w:tcPr>
          <w:p>
            <w:pPr>
              <w:keepNext/>
            </w:pPr>
            <w:r>
              <w:rPr>
                <w:sz w:val="17"/>
              </w:rPr>
              <w:t>19,579</w:t>
            </w:r>
          </w:p>
        </w:tc>
        <w:tc>
          <w:tcPr>
            <w:tcW w:type="dxa" w:w="1560"/>
          </w:tcPr>
          <w:p>
            <w:pPr>
              <w:keepNext/>
            </w:pPr>
            <w:r>
              <w:rPr>
                <w:sz w:val="17"/>
              </w:rPr>
              <w:t>21,087</w:t>
            </w:r>
          </w:p>
        </w:tc>
        <w:tc>
          <w:tcPr>
            <w:tcW w:type="dxa" w:w="1560"/>
          </w:tcPr>
          <w:p>
            <w:pPr>
              <w:keepNext/>
            </w:pPr>
            <w:r>
              <w:rPr>
                <w:sz w:val="17"/>
              </w:rPr>
              <w:t>5,866</w:t>
            </w:r>
          </w:p>
        </w:tc>
        <w:tc>
          <w:tcPr>
            <w:tcW w:type="dxa" w:w="1560"/>
          </w:tcPr>
          <w:p>
            <w:pPr>
              <w:keepNext/>
            </w:pPr>
            <w:r>
              <w:rPr>
                <w:sz w:val="17"/>
              </w:rPr>
              <w:t>24,272</w:t>
            </w:r>
          </w:p>
        </w:tc>
        <w:tc>
          <w:tcPr>
            <w:tcW w:type="dxa" w:w="1560"/>
          </w:tcPr>
          <w:p>
            <w:pPr>
              <w:keepNext/>
            </w:pPr>
            <w:r>
              <w:rPr>
                <w:sz w:val="17"/>
              </w:rPr>
              <w:t>132,242</w:t>
            </w:r>
          </w:p>
        </w:tc>
      </w:tr>
      <w:tr>
        <w:trPr>
          <w:cantSplit w:val="true"/>
        </w:trPr>
        <w:tc>
          <w:tcPr>
            <w:tcW w:type="dxa" w:w="1560"/>
          </w:tcPr>
          <w:p>
            <w:pPr>
              <w:keepNext/>
            </w:pPr>
            <w:r>
              <w:rPr>
                <w:sz w:val="17"/>
              </w:rPr>
              <w:t>2027</w:t>
            </w:r>
          </w:p>
        </w:tc>
        <w:tc>
          <w:tcPr>
            <w:tcW w:type="dxa" w:w="1560"/>
          </w:tcPr>
          <w:p>
            <w:pPr>
              <w:keepNext/>
            </w:pPr>
            <w:r>
              <w:rPr>
                <w:sz w:val="17"/>
              </w:rPr>
              <w:t>19,445</w:t>
            </w:r>
          </w:p>
        </w:tc>
        <w:tc>
          <w:tcPr>
            <w:tcW w:type="dxa" w:w="1560"/>
          </w:tcPr>
          <w:p>
            <w:pPr>
              <w:keepNext/>
            </w:pPr>
            <w:r>
              <w:rPr>
                <w:sz w:val="17"/>
              </w:rPr>
              <w:t>20,656</w:t>
            </w:r>
          </w:p>
        </w:tc>
        <w:tc>
          <w:tcPr>
            <w:tcW w:type="dxa" w:w="1560"/>
          </w:tcPr>
          <w:p>
            <w:pPr>
              <w:keepNext/>
            </w:pPr>
            <w:r>
              <w:rPr>
                <w:sz w:val="17"/>
              </w:rPr>
              <w:t>5,866</w:t>
            </w:r>
          </w:p>
        </w:tc>
        <w:tc>
          <w:tcPr>
            <w:tcW w:type="dxa" w:w="1560"/>
          </w:tcPr>
          <w:p>
            <w:pPr>
              <w:keepNext/>
            </w:pPr>
            <w:r>
              <w:rPr>
                <w:sz w:val="17"/>
              </w:rPr>
              <w:t>24,138</w:t>
            </w:r>
          </w:p>
        </w:tc>
        <w:tc>
          <w:tcPr>
            <w:tcW w:type="dxa" w:w="1560"/>
          </w:tcPr>
          <w:p>
            <w:pPr>
              <w:keepNext/>
            </w:pPr>
            <w:r>
              <w:rPr>
                <w:sz w:val="17"/>
              </w:rPr>
              <w:t>131,975</w:t>
            </w:r>
          </w:p>
        </w:tc>
      </w:tr>
      <w:tr>
        <w:trPr>
          <w:cantSplit w:val="true"/>
        </w:trPr>
        <w:tc>
          <w:tcPr>
            <w:tcW w:type="dxa" w:w="1560"/>
          </w:tcPr>
          <w:p>
            <w:pPr>
              <w:keepNext/>
            </w:pPr>
            <w:r>
              <w:rPr>
                <w:sz w:val="17"/>
              </w:rPr>
              <w:t>2028</w:t>
            </w:r>
          </w:p>
        </w:tc>
        <w:tc>
          <w:tcPr>
            <w:tcW w:type="dxa" w:w="1560"/>
          </w:tcPr>
          <w:p>
            <w:pPr>
              <w:keepNext/>
            </w:pPr>
            <w:r>
              <w:rPr>
                <w:sz w:val="17"/>
              </w:rPr>
              <w:t>19,247</w:t>
            </w:r>
          </w:p>
        </w:tc>
        <w:tc>
          <w:tcPr>
            <w:tcW w:type="dxa" w:w="1560"/>
          </w:tcPr>
          <w:p>
            <w:pPr>
              <w:keepNext/>
            </w:pPr>
            <w:r>
              <w:rPr>
                <w:sz w:val="17"/>
              </w:rPr>
              <w:t>20,180</w:t>
            </w:r>
          </w:p>
        </w:tc>
        <w:tc>
          <w:tcPr>
            <w:tcW w:type="dxa" w:w="1560"/>
          </w:tcPr>
          <w:p>
            <w:pPr>
              <w:keepNext/>
            </w:pPr>
            <w:r>
              <w:rPr>
                <w:sz w:val="17"/>
              </w:rPr>
              <w:t>5,866</w:t>
            </w:r>
          </w:p>
        </w:tc>
        <w:tc>
          <w:tcPr>
            <w:tcW w:type="dxa" w:w="1560"/>
          </w:tcPr>
          <w:p>
            <w:pPr>
              <w:keepNext/>
            </w:pPr>
            <w:r>
              <w:rPr>
                <w:sz w:val="17"/>
              </w:rPr>
              <w:t>23,939</w:t>
            </w:r>
          </w:p>
        </w:tc>
        <w:tc>
          <w:tcPr>
            <w:tcW w:type="dxa" w:w="1560"/>
          </w:tcPr>
          <w:p>
            <w:pPr>
              <w:keepNext/>
            </w:pPr>
            <w:r>
              <w:rPr>
                <w:sz w:val="17"/>
              </w:rPr>
              <w:t>131,974</w:t>
            </w:r>
          </w:p>
        </w:tc>
      </w:tr>
      <w:tr>
        <w:trPr>
          <w:cantSplit w:val="true"/>
        </w:trPr>
        <w:tc>
          <w:tcPr>
            <w:tcW w:type="dxa" w:w="1560"/>
          </w:tcPr>
          <w:p>
            <w:pPr>
              <w:keepNext/>
            </w:pPr>
            <w:r>
              <w:rPr>
                <w:sz w:val="17"/>
              </w:rPr>
              <w:t>2029</w:t>
            </w:r>
          </w:p>
        </w:tc>
        <w:tc>
          <w:tcPr>
            <w:tcW w:type="dxa" w:w="1560"/>
          </w:tcPr>
          <w:p>
            <w:pPr>
              <w:keepNext/>
            </w:pPr>
            <w:r>
              <w:rPr>
                <w:sz w:val="17"/>
              </w:rPr>
              <w:t>19,252</w:t>
            </w:r>
          </w:p>
        </w:tc>
        <w:tc>
          <w:tcPr>
            <w:tcW w:type="dxa" w:w="1560"/>
          </w:tcPr>
          <w:p>
            <w:pPr>
              <w:keepNext/>
            </w:pPr>
            <w:r>
              <w:rPr>
                <w:sz w:val="17"/>
              </w:rPr>
              <w:t>21,059</w:t>
            </w:r>
          </w:p>
        </w:tc>
        <w:tc>
          <w:tcPr>
            <w:tcW w:type="dxa" w:w="1560"/>
          </w:tcPr>
          <w:p>
            <w:pPr>
              <w:keepNext/>
            </w:pPr>
            <w:r>
              <w:rPr>
                <w:sz w:val="17"/>
              </w:rPr>
              <w:t>5,866</w:t>
            </w:r>
          </w:p>
        </w:tc>
        <w:tc>
          <w:tcPr>
            <w:tcW w:type="dxa" w:w="1560"/>
          </w:tcPr>
          <w:p>
            <w:pPr>
              <w:keepNext/>
            </w:pPr>
            <w:r>
              <w:rPr>
                <w:sz w:val="17"/>
              </w:rPr>
              <w:t>23,944</w:t>
            </w:r>
          </w:p>
        </w:tc>
        <w:tc>
          <w:tcPr>
            <w:tcW w:type="dxa" w:w="1560"/>
          </w:tcPr>
          <w:p>
            <w:pPr>
              <w:keepNext/>
            </w:pPr>
            <w:r>
              <w:rPr>
                <w:sz w:val="17"/>
              </w:rPr>
              <w:t>131,515</w:t>
            </w:r>
          </w:p>
        </w:tc>
      </w:tr>
      <w:tr>
        <w:trPr>
          <w:cantSplit w:val="true"/>
        </w:trPr>
        <w:tc>
          <w:tcPr>
            <w:tcW w:type="dxa" w:w="1560"/>
          </w:tcPr>
          <w:p>
            <w:pPr>
              <w:keepNext/>
            </w:pPr>
            <w:r>
              <w:rPr>
                <w:sz w:val="17"/>
              </w:rPr>
              <w:t>2030</w:t>
            </w:r>
          </w:p>
        </w:tc>
        <w:tc>
          <w:tcPr>
            <w:tcW w:type="dxa" w:w="1560"/>
          </w:tcPr>
          <w:p>
            <w:pPr>
              <w:keepNext/>
            </w:pPr>
            <w:r>
              <w:rPr>
                <w:sz w:val="17"/>
              </w:rPr>
              <w:t>19,275</w:t>
            </w:r>
          </w:p>
        </w:tc>
        <w:tc>
          <w:tcPr>
            <w:tcW w:type="dxa" w:w="1560"/>
          </w:tcPr>
          <w:p>
            <w:pPr>
              <w:keepNext/>
            </w:pPr>
            <w:r>
              <w:rPr>
                <w:sz w:val="17"/>
              </w:rPr>
              <w:t>21,052</w:t>
            </w:r>
          </w:p>
        </w:tc>
        <w:tc>
          <w:tcPr>
            <w:tcW w:type="dxa" w:w="1560"/>
          </w:tcPr>
          <w:p>
            <w:pPr>
              <w:keepNext/>
            </w:pPr>
            <w:r>
              <w:rPr>
                <w:sz w:val="17"/>
              </w:rPr>
              <w:t>5,866</w:t>
            </w:r>
          </w:p>
        </w:tc>
        <w:tc>
          <w:tcPr>
            <w:tcW w:type="dxa" w:w="1560"/>
          </w:tcPr>
          <w:p>
            <w:pPr>
              <w:keepNext/>
            </w:pPr>
            <w:r>
              <w:rPr>
                <w:sz w:val="17"/>
              </w:rPr>
              <w:t>23,968</w:t>
            </w:r>
          </w:p>
        </w:tc>
        <w:tc>
          <w:tcPr>
            <w:tcW w:type="dxa" w:w="1560"/>
          </w:tcPr>
          <w:p>
            <w:pPr>
              <w:keepNext/>
            </w:pPr>
            <w:r>
              <w:rPr>
                <w:sz w:val="17"/>
              </w:rPr>
              <w:t>131,283</w:t>
            </w:r>
          </w:p>
        </w:tc>
      </w:tr>
      <w:tr>
        <w:trPr>
          <w:cantSplit w:val="true"/>
        </w:trPr>
        <w:tc>
          <w:tcPr>
            <w:tcW w:type="dxa" w:w="1560"/>
          </w:tcPr>
          <w:p>
            <w:pPr>
              <w:keepNext/>
            </w:pPr>
            <w:r>
              <w:rPr>
                <w:sz w:val="17"/>
              </w:rPr>
              <w:t>2031</w:t>
            </w:r>
          </w:p>
        </w:tc>
        <w:tc>
          <w:tcPr>
            <w:tcW w:type="dxa" w:w="1560"/>
          </w:tcPr>
          <w:p>
            <w:pPr>
              <w:keepNext/>
            </w:pPr>
            <w:r>
              <w:rPr>
                <w:sz w:val="17"/>
              </w:rPr>
              <w:t>19,534</w:t>
            </w:r>
          </w:p>
        </w:tc>
        <w:tc>
          <w:tcPr>
            <w:tcW w:type="dxa" w:w="1560"/>
          </w:tcPr>
          <w:p>
            <w:pPr>
              <w:keepNext/>
            </w:pPr>
            <w:r>
              <w:rPr>
                <w:sz w:val="17"/>
              </w:rPr>
              <w:t>21,062</w:t>
            </w:r>
          </w:p>
        </w:tc>
        <w:tc>
          <w:tcPr>
            <w:tcW w:type="dxa" w:w="1560"/>
          </w:tcPr>
          <w:p>
            <w:pPr>
              <w:keepNext/>
            </w:pPr>
            <w:r>
              <w:rPr>
                <w:sz w:val="17"/>
              </w:rPr>
              <w:t>5,866</w:t>
            </w:r>
          </w:p>
        </w:tc>
        <w:tc>
          <w:tcPr>
            <w:tcW w:type="dxa" w:w="1560"/>
          </w:tcPr>
          <w:p>
            <w:pPr>
              <w:keepNext/>
            </w:pPr>
            <w:r>
              <w:rPr>
                <w:sz w:val="17"/>
              </w:rPr>
              <w:t>24,226</w:t>
            </w:r>
          </w:p>
        </w:tc>
        <w:tc>
          <w:tcPr>
            <w:tcW w:type="dxa" w:w="1560"/>
          </w:tcPr>
          <w:p>
            <w:pPr>
              <w:keepNext/>
            </w:pPr>
            <w:r>
              <w:rPr>
                <w:sz w:val="17"/>
              </w:rPr>
              <w:t>131,041</w:t>
            </w:r>
          </w:p>
        </w:tc>
      </w:tr>
      <w:tr>
        <w:trPr>
          <w:cantSplit w:val="true"/>
        </w:trPr>
        <w:tc>
          <w:tcPr>
            <w:tcW w:type="dxa" w:w="1560"/>
          </w:tcPr>
          <w:p>
            <w:pPr>
              <w:keepNext/>
            </w:pPr>
            <w:r>
              <w:rPr>
                <w:sz w:val="17"/>
              </w:rPr>
              <w:t>2032</w:t>
            </w:r>
          </w:p>
        </w:tc>
        <w:tc>
          <w:tcPr>
            <w:tcW w:type="dxa" w:w="1560"/>
          </w:tcPr>
          <w:p>
            <w:pPr>
              <w:keepNext/>
            </w:pPr>
            <w:r>
              <w:rPr>
                <w:sz w:val="17"/>
              </w:rPr>
              <w:t>19,522</w:t>
            </w:r>
          </w:p>
        </w:tc>
        <w:tc>
          <w:tcPr>
            <w:tcW w:type="dxa" w:w="1560"/>
          </w:tcPr>
          <w:p>
            <w:pPr>
              <w:keepNext/>
            </w:pPr>
            <w:r>
              <w:rPr>
                <w:sz w:val="17"/>
              </w:rPr>
              <w:t>21,030</w:t>
            </w:r>
          </w:p>
        </w:tc>
        <w:tc>
          <w:tcPr>
            <w:tcW w:type="dxa" w:w="1560"/>
          </w:tcPr>
          <w:p>
            <w:pPr>
              <w:keepNext/>
            </w:pPr>
            <w:r>
              <w:rPr>
                <w:sz w:val="17"/>
              </w:rPr>
              <w:t>5,866</w:t>
            </w:r>
          </w:p>
        </w:tc>
        <w:tc>
          <w:tcPr>
            <w:tcW w:type="dxa" w:w="1560"/>
          </w:tcPr>
          <w:p>
            <w:pPr>
              <w:keepNext/>
            </w:pPr>
            <w:r>
              <w:rPr>
                <w:sz w:val="17"/>
              </w:rPr>
              <w:t>24,215</w:t>
            </w:r>
          </w:p>
        </w:tc>
        <w:tc>
          <w:tcPr>
            <w:tcW w:type="dxa" w:w="1560"/>
          </w:tcPr>
          <w:p>
            <w:pPr>
              <w:keepNext/>
            </w:pPr>
            <w:r>
              <w:rPr>
                <w:sz w:val="17"/>
              </w:rPr>
              <w:t>131,011</w:t>
            </w:r>
          </w:p>
        </w:tc>
      </w:tr>
      <w:tr>
        <w:trPr>
          <w:cantSplit w:val="true"/>
        </w:trPr>
        <w:tc>
          <w:tcPr>
            <w:tcW w:type="dxa" w:w="1560"/>
          </w:tcPr>
          <w:p>
            <w:pPr>
              <w:keepNext/>
            </w:pPr>
            <w:r>
              <w:rPr>
                <w:sz w:val="17"/>
              </w:rPr>
              <w:t>2033</w:t>
            </w:r>
          </w:p>
        </w:tc>
        <w:tc>
          <w:tcPr>
            <w:tcW w:type="dxa" w:w="1560"/>
          </w:tcPr>
          <w:p>
            <w:pPr>
              <w:keepNext/>
            </w:pPr>
            <w:r>
              <w:rPr>
                <w:sz w:val="17"/>
              </w:rPr>
              <w:t>19,199</w:t>
            </w:r>
          </w:p>
        </w:tc>
        <w:tc>
          <w:tcPr>
            <w:tcW w:type="dxa" w:w="1560"/>
          </w:tcPr>
          <w:p>
            <w:pPr>
              <w:keepNext/>
            </w:pPr>
            <w:r>
              <w:rPr>
                <w:sz w:val="17"/>
              </w:rPr>
              <w:t>20,133</w:t>
            </w:r>
          </w:p>
        </w:tc>
        <w:tc>
          <w:tcPr>
            <w:tcW w:type="dxa" w:w="1560"/>
          </w:tcPr>
          <w:p>
            <w:pPr>
              <w:keepNext/>
            </w:pPr>
            <w:r>
              <w:rPr>
                <w:sz w:val="17"/>
              </w:rPr>
              <w:t>5,866</w:t>
            </w:r>
          </w:p>
        </w:tc>
        <w:tc>
          <w:tcPr>
            <w:tcW w:type="dxa" w:w="1560"/>
          </w:tcPr>
          <w:p>
            <w:pPr>
              <w:keepNext/>
            </w:pPr>
            <w:r>
              <w:rPr>
                <w:sz w:val="17"/>
              </w:rPr>
              <w:t>23,892</w:t>
            </w:r>
          </w:p>
        </w:tc>
        <w:tc>
          <w:tcPr>
            <w:tcW w:type="dxa" w:w="1560"/>
          </w:tcPr>
          <w:p>
            <w:pPr>
              <w:keepNext/>
            </w:pPr>
            <w:r>
              <w:rPr>
                <w:sz w:val="17"/>
              </w:rPr>
              <w:t>130,528</w:t>
            </w:r>
          </w:p>
        </w:tc>
      </w:tr>
      <w:tr>
        <w:trPr>
          <w:cantSplit w:val="true"/>
        </w:trPr>
        <w:tc>
          <w:tcPr>
            <w:tcW w:type="dxa" w:w="1560"/>
          </w:tcPr>
          <w:p>
            <w:pPr>
              <w:keepNext/>
            </w:pPr>
            <w:r>
              <w:rPr>
                <w:sz w:val="17"/>
              </w:rPr>
              <w:t>2034</w:t>
            </w:r>
          </w:p>
        </w:tc>
        <w:tc>
          <w:tcPr>
            <w:tcW w:type="dxa" w:w="1560"/>
          </w:tcPr>
          <w:p>
            <w:pPr>
              <w:keepNext/>
            </w:pPr>
            <w:r>
              <w:rPr>
                <w:sz w:val="17"/>
              </w:rPr>
              <w:t>19,079</w:t>
            </w:r>
          </w:p>
        </w:tc>
        <w:tc>
          <w:tcPr>
            <w:tcW w:type="dxa" w:w="1560"/>
          </w:tcPr>
          <w:p>
            <w:pPr>
              <w:keepNext/>
            </w:pPr>
            <w:r>
              <w:rPr>
                <w:sz w:val="17"/>
              </w:rPr>
              <w:t>20,295</w:t>
            </w:r>
          </w:p>
        </w:tc>
        <w:tc>
          <w:tcPr>
            <w:tcW w:type="dxa" w:w="1560"/>
          </w:tcPr>
          <w:p>
            <w:pPr>
              <w:keepNext/>
            </w:pPr>
            <w:r>
              <w:rPr>
                <w:sz w:val="17"/>
              </w:rPr>
              <w:t>5,866</w:t>
            </w:r>
          </w:p>
        </w:tc>
        <w:tc>
          <w:tcPr>
            <w:tcW w:type="dxa" w:w="1560"/>
          </w:tcPr>
          <w:p>
            <w:pPr>
              <w:keepNext/>
            </w:pPr>
            <w:r>
              <w:rPr>
                <w:sz w:val="17"/>
              </w:rPr>
              <w:t>23,772</w:t>
            </w:r>
          </w:p>
        </w:tc>
        <w:tc>
          <w:tcPr>
            <w:tcW w:type="dxa" w:w="1560"/>
          </w:tcPr>
          <w:p>
            <w:pPr>
              <w:keepNext/>
            </w:pPr>
            <w:r>
              <w:rPr>
                <w:sz w:val="17"/>
              </w:rPr>
              <w:t>130,286</w:t>
            </w:r>
          </w:p>
        </w:tc>
      </w:tr>
      <w:tr>
        <w:trPr>
          <w:cantSplit w:val="true"/>
        </w:trPr>
        <w:tc>
          <w:tcPr>
            <w:tcW w:type="dxa" w:w="1560"/>
          </w:tcPr>
          <w:p>
            <w:r>
              <w:rPr>
                <w:sz w:val="17"/>
              </w:rPr>
              <w:t>2035</w:t>
            </w:r>
          </w:p>
        </w:tc>
        <w:tc>
          <w:tcPr>
            <w:tcW w:type="dxa" w:w="1560"/>
          </w:tcPr>
          <w:p>
            <w:r>
              <w:rPr>
                <w:sz w:val="17"/>
              </w:rPr>
              <w:t>19,194</w:t>
            </w:r>
          </w:p>
        </w:tc>
        <w:tc>
          <w:tcPr>
            <w:tcW w:type="dxa" w:w="1560"/>
          </w:tcPr>
          <w:p>
            <w:r>
              <w:rPr>
                <w:sz w:val="17"/>
              </w:rPr>
              <w:t>21,002</w:t>
            </w:r>
          </w:p>
        </w:tc>
        <w:tc>
          <w:tcPr>
            <w:tcW w:type="dxa" w:w="1560"/>
          </w:tcPr>
          <w:p>
            <w:r>
              <w:rPr>
                <w:sz w:val="17"/>
              </w:rPr>
              <w:t>5,866</w:t>
            </w:r>
          </w:p>
        </w:tc>
        <w:tc>
          <w:tcPr>
            <w:tcW w:type="dxa" w:w="1560"/>
          </w:tcPr>
          <w:p>
            <w:r>
              <w:rPr>
                <w:sz w:val="17"/>
              </w:rPr>
              <w:t>23,887</w:t>
            </w:r>
          </w:p>
        </w:tc>
        <w:tc>
          <w:tcPr>
            <w:tcW w:type="dxa" w:w="1560"/>
          </w:tcPr>
          <w:p>
            <w:r>
              <w:rPr>
                <w:sz w:val="17"/>
              </w:rPr>
              <w:t>130,066</w:t>
            </w:r>
          </w:p>
        </w:tc>
      </w:tr>
    </w:tbl>
    <w:p/>
    <w:p>
      <w:pPr>
        <w:pStyle w:val="Heading1"/>
      </w:pPr>
      <w:r>
        <w:t>5. Data Center Pipeline and Probabilistic Overlay</w:t>
      </w:r>
    </w:p>
    <w:p>
      <w:pPr>
        <w:pStyle w:val="Heading2"/>
      </w:pPr>
      <w:r>
        <w:t>5.1 The pipeline</w:t>
      </w:r>
    </w:p>
    <w:p>
      <w:r>
        <w:rPr>
          <w:b w:val="0"/>
          <w:i w:val="0"/>
        </w:rPr>
        <w:t>We compiled 46 de-duplicated data center projects (Appendix B), each with a source URL and verbatim capacity quote. Each is tagged to one of six stages: announced, zoned, interconnection request, electric service agreement (ESA) signed, under construction, energized. Where only IT load was reported, grid load was estimated with a PUE of 1.3. Likely duplicates (same county and developer, capacity within 20%, timing within two years) were collapsed to the most advanced stage.</w:t>
      </w:r>
    </w:p>
    <w:p>
      <w:pPr>
        <w:keepNext/>
      </w:pPr>
      <w:r>
        <w:rPr>
          <w:b w:val="0"/>
          <w:i/>
          <w:sz w:val="18"/>
        </w:rPr>
        <w:t>Table 7. Pipeline funnel by stage</w:t>
      </w:r>
    </w:p>
    <w:tbl>
      <w:tblPr>
        <w:tblStyle w:val="TableGrid"/>
        <w:tblW w:type="auto" w:w="0"/>
        <w:jc w:val="center"/>
        <w:tblLook w:firstColumn="1" w:firstRow="1" w:lastColumn="0" w:lastRow="0" w:noHBand="0" w:noVBand="1" w:val="04A0"/>
      </w:tblPr>
      <w:tblGrid>
        <w:gridCol w:w="3120"/>
        <w:gridCol w:w="3120"/>
        <w:gridCol w:w="3120"/>
      </w:tblGrid>
      <w:tr>
        <w:trPr>
          <w:cantSplit w:val="true"/>
          <w:tblHeader w:val="true"/>
        </w:trPr>
        <w:tc>
          <w:tcPr>
            <w:tcW w:type="dxa" w:w="3120"/>
            <w:shd w:val="clear" w:color="auto" w:fill="DCE6F1"/>
          </w:tcPr>
          <w:p>
            <w:pPr>
              <w:keepNext/>
            </w:pPr>
            <w:r>
              <w:rPr>
                <w:b/>
                <w:sz w:val="17"/>
              </w:rPr>
              <w:t>Stage</w:t>
            </w:r>
          </w:p>
        </w:tc>
        <w:tc>
          <w:tcPr>
            <w:tcW w:type="dxa" w:w="3120"/>
            <w:shd w:val="clear" w:color="auto" w:fill="DCE6F1"/>
          </w:tcPr>
          <w:p>
            <w:pPr>
              <w:keepNext/>
            </w:pPr>
            <w:r>
              <w:rPr>
                <w:b/>
                <w:sz w:val="17"/>
              </w:rPr>
              <w:t>Projects</w:t>
            </w:r>
          </w:p>
        </w:tc>
        <w:tc>
          <w:tcPr>
            <w:tcW w:type="dxa" w:w="3120"/>
            <w:shd w:val="clear" w:color="auto" w:fill="DCE6F1"/>
          </w:tcPr>
          <w:p>
            <w:pPr>
              <w:keepNext/>
            </w:pPr>
            <w:r>
              <w:rPr>
                <w:b/>
                <w:sz w:val="17"/>
              </w:rPr>
              <w:t>MW (grid)</w:t>
            </w:r>
          </w:p>
        </w:tc>
      </w:tr>
      <w:tr>
        <w:trPr>
          <w:cantSplit w:val="true"/>
        </w:trPr>
        <w:tc>
          <w:tcPr>
            <w:tcW w:type="dxa" w:w="3120"/>
          </w:tcPr>
          <w:p>
            <w:pPr>
              <w:keepNext/>
            </w:pPr>
            <w:r>
              <w:rPr>
                <w:sz w:val="17"/>
              </w:rPr>
              <w:t>Announced</w:t>
            </w:r>
          </w:p>
        </w:tc>
        <w:tc>
          <w:tcPr>
            <w:tcW w:type="dxa" w:w="3120"/>
          </w:tcPr>
          <w:p>
            <w:pPr>
              <w:keepNext/>
            </w:pPr>
            <w:r>
              <w:rPr>
                <w:sz w:val="17"/>
              </w:rPr>
              <w:t>6</w:t>
            </w:r>
          </w:p>
        </w:tc>
        <w:tc>
          <w:tcPr>
            <w:tcW w:type="dxa" w:w="3120"/>
          </w:tcPr>
          <w:p>
            <w:pPr>
              <w:keepNext/>
            </w:pPr>
            <w:r>
              <w:rPr>
                <w:sz w:val="17"/>
              </w:rPr>
              <w:t>3,081</w:t>
            </w:r>
          </w:p>
        </w:tc>
      </w:tr>
      <w:tr>
        <w:trPr>
          <w:cantSplit w:val="true"/>
        </w:trPr>
        <w:tc>
          <w:tcPr>
            <w:tcW w:type="dxa" w:w="3120"/>
          </w:tcPr>
          <w:p>
            <w:pPr>
              <w:keepNext/>
            </w:pPr>
            <w:r>
              <w:rPr>
                <w:sz w:val="17"/>
              </w:rPr>
              <w:t>Zoned</w:t>
            </w:r>
          </w:p>
        </w:tc>
        <w:tc>
          <w:tcPr>
            <w:tcW w:type="dxa" w:w="3120"/>
          </w:tcPr>
          <w:p>
            <w:pPr>
              <w:keepNext/>
            </w:pPr>
            <w:r>
              <w:rPr>
                <w:sz w:val="17"/>
              </w:rPr>
              <w:t>3</w:t>
            </w:r>
          </w:p>
        </w:tc>
        <w:tc>
          <w:tcPr>
            <w:tcW w:type="dxa" w:w="3120"/>
          </w:tcPr>
          <w:p>
            <w:pPr>
              <w:keepNext/>
            </w:pPr>
            <w:r>
              <w:rPr>
                <w:sz w:val="17"/>
              </w:rPr>
              <w:t>2,450</w:t>
            </w:r>
          </w:p>
        </w:tc>
      </w:tr>
      <w:tr>
        <w:trPr>
          <w:cantSplit w:val="true"/>
        </w:trPr>
        <w:tc>
          <w:tcPr>
            <w:tcW w:type="dxa" w:w="3120"/>
          </w:tcPr>
          <w:p>
            <w:pPr>
              <w:keepNext/>
            </w:pPr>
            <w:r>
              <w:rPr>
                <w:sz w:val="17"/>
              </w:rPr>
              <w:t>Interconnection request</w:t>
            </w:r>
          </w:p>
        </w:tc>
        <w:tc>
          <w:tcPr>
            <w:tcW w:type="dxa" w:w="3120"/>
          </w:tcPr>
          <w:p>
            <w:pPr>
              <w:keepNext/>
            </w:pPr>
            <w:r>
              <w:rPr>
                <w:sz w:val="17"/>
              </w:rPr>
              <w:t>0</w:t>
            </w:r>
          </w:p>
        </w:tc>
        <w:tc>
          <w:tcPr>
            <w:tcW w:type="dxa" w:w="3120"/>
          </w:tcPr>
          <w:p>
            <w:pPr>
              <w:keepNext/>
            </w:pPr>
            <w:r>
              <w:rPr>
                <w:sz w:val="17"/>
              </w:rPr>
              <w:t>0</w:t>
            </w:r>
          </w:p>
        </w:tc>
      </w:tr>
      <w:tr>
        <w:trPr>
          <w:cantSplit w:val="true"/>
        </w:trPr>
        <w:tc>
          <w:tcPr>
            <w:tcW w:type="dxa" w:w="3120"/>
          </w:tcPr>
          <w:p>
            <w:pPr>
              <w:keepNext/>
            </w:pPr>
            <w:r>
              <w:rPr>
                <w:sz w:val="17"/>
              </w:rPr>
              <w:t>ESA signed</w:t>
            </w:r>
          </w:p>
        </w:tc>
        <w:tc>
          <w:tcPr>
            <w:tcW w:type="dxa" w:w="3120"/>
          </w:tcPr>
          <w:p>
            <w:pPr>
              <w:keepNext/>
            </w:pPr>
            <w:r>
              <w:rPr>
                <w:sz w:val="17"/>
              </w:rPr>
              <w:t>30</w:t>
            </w:r>
          </w:p>
        </w:tc>
        <w:tc>
          <w:tcPr>
            <w:tcW w:type="dxa" w:w="3120"/>
          </w:tcPr>
          <w:p>
            <w:pPr>
              <w:keepNext/>
            </w:pPr>
            <w:r>
              <w:rPr>
                <w:sz w:val="17"/>
              </w:rPr>
              <w:t>9,291</w:t>
            </w:r>
          </w:p>
        </w:tc>
      </w:tr>
      <w:tr>
        <w:trPr>
          <w:cantSplit w:val="true"/>
        </w:trPr>
        <w:tc>
          <w:tcPr>
            <w:tcW w:type="dxa" w:w="3120"/>
          </w:tcPr>
          <w:p>
            <w:pPr>
              <w:keepNext/>
            </w:pPr>
            <w:r>
              <w:rPr>
                <w:sz w:val="17"/>
              </w:rPr>
              <w:t>Under construction</w:t>
            </w:r>
          </w:p>
        </w:tc>
        <w:tc>
          <w:tcPr>
            <w:tcW w:type="dxa" w:w="3120"/>
          </w:tcPr>
          <w:p>
            <w:pPr>
              <w:keepNext/>
            </w:pPr>
            <w:r>
              <w:rPr>
                <w:sz w:val="17"/>
              </w:rPr>
              <w:t>7</w:t>
            </w:r>
          </w:p>
        </w:tc>
        <w:tc>
          <w:tcPr>
            <w:tcW w:type="dxa" w:w="3120"/>
          </w:tcPr>
          <w:p>
            <w:pPr>
              <w:keepNext/>
            </w:pPr>
            <w:r>
              <w:rPr>
                <w:sz w:val="17"/>
              </w:rPr>
              <w:t>2,708</w:t>
            </w:r>
          </w:p>
        </w:tc>
      </w:tr>
      <w:tr>
        <w:trPr>
          <w:cantSplit w:val="true"/>
        </w:trPr>
        <w:tc>
          <w:tcPr>
            <w:tcW w:type="dxa" w:w="3120"/>
          </w:tcPr>
          <w:p>
            <w:r>
              <w:rPr>
                <w:sz w:val="17"/>
              </w:rPr>
              <w:t>Energized</w:t>
            </w:r>
          </w:p>
        </w:tc>
        <w:tc>
          <w:tcPr>
            <w:tcW w:type="dxa" w:w="3120"/>
          </w:tcPr>
          <w:p>
            <w:r>
              <w:rPr>
                <w:sz w:val="17"/>
              </w:rPr>
              <w:t>0</w:t>
            </w:r>
          </w:p>
        </w:tc>
        <w:tc>
          <w:tcPr>
            <w:tcW w:type="dxa" w:w="3120"/>
          </w:tcPr>
          <w:p>
            <w:r>
              <w:rPr>
                <w:sz w:val="17"/>
              </w:rPr>
              <w:t>0</w:t>
            </w:r>
          </w:p>
        </w:tc>
      </w:tr>
    </w:tbl>
    <w:p/>
    <w:p>
      <w:pPr>
        <w:jc w:val="center"/>
      </w:pPr>
      <w:r>
        <w:drawing>
          <wp:inline xmlns:a="http://schemas.openxmlformats.org/drawingml/2006/main" xmlns:pic="http://schemas.openxmlformats.org/drawingml/2006/picture">
            <wp:extent cx="5486400" cy="3135086"/>
            <wp:docPr id="4" name="Picture 4"/>
            <wp:cNvGraphicFramePr>
              <a:graphicFrameLocks noChangeAspect="1"/>
            </wp:cNvGraphicFramePr>
            <a:graphic>
              <a:graphicData uri="http://schemas.openxmlformats.org/drawingml/2006/picture">
                <pic:pic>
                  <pic:nvPicPr>
                    <pic:cNvPr id="0" name="pipeline_funnel.png"/>
                    <pic:cNvPicPr/>
                  </pic:nvPicPr>
                  <pic:blipFill>
                    <a:blip r:embed="rId13"/>
                    <a:stretch>
                      <a:fillRect/>
                    </a:stretch>
                  </pic:blipFill>
                  <pic:spPr>
                    <a:xfrm>
                      <a:off x="0" y="0"/>
                      <a:ext cx="5486400" cy="3135086"/>
                    </a:xfrm>
                    <a:prstGeom prst="rect"/>
                  </pic:spPr>
                </pic:pic>
              </a:graphicData>
            </a:graphic>
          </wp:inline>
        </w:drawing>
      </w:r>
    </w:p>
    <w:p>
      <w:pPr>
        <w:jc w:val="center"/>
      </w:pPr>
      <w:r>
        <w:rPr>
          <w:b w:val="0"/>
          <w:i/>
          <w:sz w:val="18"/>
        </w:rPr>
        <w:t>Figure 4. De-duplicated pipeline capacity by development stage.</w:t>
      </w:r>
    </w:p>
    <w:p>
      <w:pPr>
        <w:pStyle w:val="Heading2"/>
      </w:pPr>
      <w:r>
        <w:t>5.2 Stage probabilities and timing</w:t>
      </w:r>
    </w:p>
    <w:p>
      <w:r>
        <w:rPr>
          <w:b w:val="0"/>
          <w:i w:val="0"/>
        </w:rPr>
        <w:t>Each project is modeled as a random variable: probability of being built (by stage), delay beyond the stated commercial operation date (lognormal, σ = 0.5), and a linear ramp to full load. An additional term represents not-yet-announced projects (0/150/400 MW per year in Low/Base/High). Energized projects are excluded from the overlay because they are already in the historical connected series.</w:t>
      </w:r>
    </w:p>
    <w:p>
      <w:pPr>
        <w:keepNext/>
      </w:pPr>
      <w:r>
        <w:rPr>
          <w:b w:val="0"/>
          <w:i/>
          <w:sz w:val="18"/>
        </w:rPr>
        <w:t>Table 8. Stage-based build probabilities and timing assumptions</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cantSplit w:val="true"/>
          <w:tblHeader w:val="true"/>
        </w:trPr>
        <w:tc>
          <w:tcPr>
            <w:tcW w:type="dxa" w:w="1560"/>
            <w:shd w:val="clear" w:color="auto" w:fill="DCE6F1"/>
          </w:tcPr>
          <w:p>
            <w:pPr>
              <w:keepNext/>
            </w:pPr>
            <w:r>
              <w:rPr>
                <w:b/>
                <w:sz w:val="17"/>
              </w:rPr>
              <w:t>Stage</w:t>
            </w:r>
          </w:p>
        </w:tc>
        <w:tc>
          <w:tcPr>
            <w:tcW w:type="dxa" w:w="1560"/>
            <w:shd w:val="clear" w:color="auto" w:fill="DCE6F1"/>
          </w:tcPr>
          <w:p>
            <w:pPr>
              <w:keepNext/>
            </w:pPr>
            <w:r>
              <w:rPr>
                <w:b/>
                <w:sz w:val="17"/>
              </w:rPr>
              <w:t>P(built) Low</w:t>
            </w:r>
          </w:p>
        </w:tc>
        <w:tc>
          <w:tcPr>
            <w:tcW w:type="dxa" w:w="1560"/>
            <w:shd w:val="clear" w:color="auto" w:fill="DCE6F1"/>
          </w:tcPr>
          <w:p>
            <w:pPr>
              <w:keepNext/>
            </w:pPr>
            <w:r>
              <w:rPr>
                <w:b/>
                <w:sz w:val="17"/>
              </w:rPr>
              <w:t>P(built) Base</w:t>
            </w:r>
          </w:p>
        </w:tc>
        <w:tc>
          <w:tcPr>
            <w:tcW w:type="dxa" w:w="1560"/>
            <w:shd w:val="clear" w:color="auto" w:fill="DCE6F1"/>
          </w:tcPr>
          <w:p>
            <w:pPr>
              <w:keepNext/>
            </w:pPr>
            <w:r>
              <w:rPr>
                <w:b/>
                <w:sz w:val="17"/>
              </w:rPr>
              <w:t>P(built) High</w:t>
            </w:r>
          </w:p>
        </w:tc>
        <w:tc>
          <w:tcPr>
            <w:tcW w:type="dxa" w:w="1560"/>
            <w:shd w:val="clear" w:color="auto" w:fill="DCE6F1"/>
          </w:tcPr>
          <w:p>
            <w:pPr>
              <w:keepNext/>
            </w:pPr>
            <w:r>
              <w:rPr>
                <w:b/>
                <w:sz w:val="17"/>
              </w:rPr>
              <w:t>Median delay (yr)</w:t>
            </w:r>
          </w:p>
        </w:tc>
        <w:tc>
          <w:tcPr>
            <w:tcW w:type="dxa" w:w="1560"/>
            <w:shd w:val="clear" w:color="auto" w:fill="DCE6F1"/>
          </w:tcPr>
          <w:p>
            <w:pPr>
              <w:keepNext/>
            </w:pPr>
            <w:r>
              <w:rPr>
                <w:b/>
                <w:sz w:val="17"/>
              </w:rPr>
              <w:t>Ramp (yr)</w:t>
            </w:r>
          </w:p>
        </w:tc>
      </w:tr>
      <w:tr>
        <w:trPr>
          <w:cantSplit w:val="true"/>
        </w:trPr>
        <w:tc>
          <w:tcPr>
            <w:tcW w:type="dxa" w:w="1560"/>
          </w:tcPr>
          <w:p>
            <w:pPr>
              <w:keepNext/>
            </w:pPr>
            <w:r>
              <w:rPr>
                <w:sz w:val="17"/>
              </w:rPr>
              <w:t>Announced</w:t>
            </w:r>
          </w:p>
        </w:tc>
        <w:tc>
          <w:tcPr>
            <w:tcW w:type="dxa" w:w="1560"/>
          </w:tcPr>
          <w:p>
            <w:pPr>
              <w:keepNext/>
            </w:pPr>
            <w:r>
              <w:rPr>
                <w:sz w:val="17"/>
              </w:rPr>
              <w:t>0.10</w:t>
            </w:r>
          </w:p>
        </w:tc>
        <w:tc>
          <w:tcPr>
            <w:tcW w:type="dxa" w:w="1560"/>
          </w:tcPr>
          <w:p>
            <w:pPr>
              <w:keepNext/>
            </w:pPr>
            <w:r>
              <w:rPr>
                <w:sz w:val="17"/>
              </w:rPr>
              <w:t>0.20</w:t>
            </w:r>
          </w:p>
        </w:tc>
        <w:tc>
          <w:tcPr>
            <w:tcW w:type="dxa" w:w="1560"/>
          </w:tcPr>
          <w:p>
            <w:pPr>
              <w:keepNext/>
            </w:pPr>
            <w:r>
              <w:rPr>
                <w:sz w:val="17"/>
              </w:rPr>
              <w:t>0.35</w:t>
            </w:r>
          </w:p>
        </w:tc>
        <w:tc>
          <w:tcPr>
            <w:tcW w:type="dxa" w:w="1560"/>
          </w:tcPr>
          <w:p>
            <w:pPr>
              <w:keepNext/>
            </w:pPr>
            <w:r>
              <w:rPr>
                <w:sz w:val="17"/>
              </w:rPr>
              <w:t>2.0</w:t>
            </w:r>
          </w:p>
        </w:tc>
        <w:tc>
          <w:tcPr>
            <w:tcW w:type="dxa" w:w="1560"/>
          </w:tcPr>
          <w:p>
            <w:pPr>
              <w:keepNext/>
            </w:pPr>
            <w:r>
              <w:rPr>
                <w:sz w:val="17"/>
              </w:rPr>
              <w:t>4</w:t>
            </w:r>
          </w:p>
        </w:tc>
      </w:tr>
      <w:tr>
        <w:trPr>
          <w:cantSplit w:val="true"/>
        </w:trPr>
        <w:tc>
          <w:tcPr>
            <w:tcW w:type="dxa" w:w="1560"/>
          </w:tcPr>
          <w:p>
            <w:pPr>
              <w:keepNext/>
            </w:pPr>
            <w:r>
              <w:rPr>
                <w:sz w:val="17"/>
              </w:rPr>
              <w:t>Zoned</w:t>
            </w:r>
          </w:p>
        </w:tc>
        <w:tc>
          <w:tcPr>
            <w:tcW w:type="dxa" w:w="1560"/>
          </w:tcPr>
          <w:p>
            <w:pPr>
              <w:keepNext/>
            </w:pPr>
            <w:r>
              <w:rPr>
                <w:sz w:val="17"/>
              </w:rPr>
              <w:t>0.25</w:t>
            </w:r>
          </w:p>
        </w:tc>
        <w:tc>
          <w:tcPr>
            <w:tcW w:type="dxa" w:w="1560"/>
          </w:tcPr>
          <w:p>
            <w:pPr>
              <w:keepNext/>
            </w:pPr>
            <w:r>
              <w:rPr>
                <w:sz w:val="17"/>
              </w:rPr>
              <w:t>0.40</w:t>
            </w:r>
          </w:p>
        </w:tc>
        <w:tc>
          <w:tcPr>
            <w:tcW w:type="dxa" w:w="1560"/>
          </w:tcPr>
          <w:p>
            <w:pPr>
              <w:keepNext/>
            </w:pPr>
            <w:r>
              <w:rPr>
                <w:sz w:val="17"/>
              </w:rPr>
              <w:t>0.55</w:t>
            </w:r>
          </w:p>
        </w:tc>
        <w:tc>
          <w:tcPr>
            <w:tcW w:type="dxa" w:w="1560"/>
          </w:tcPr>
          <w:p>
            <w:pPr>
              <w:keepNext/>
            </w:pPr>
            <w:r>
              <w:rPr>
                <w:sz w:val="17"/>
              </w:rPr>
              <w:t>1.5</w:t>
            </w:r>
          </w:p>
        </w:tc>
        <w:tc>
          <w:tcPr>
            <w:tcW w:type="dxa" w:w="1560"/>
          </w:tcPr>
          <w:p>
            <w:pPr>
              <w:keepNext/>
            </w:pPr>
            <w:r>
              <w:rPr>
                <w:sz w:val="17"/>
              </w:rPr>
              <w:t>4</w:t>
            </w:r>
          </w:p>
        </w:tc>
      </w:tr>
      <w:tr>
        <w:trPr>
          <w:cantSplit w:val="true"/>
        </w:trPr>
        <w:tc>
          <w:tcPr>
            <w:tcW w:type="dxa" w:w="1560"/>
          </w:tcPr>
          <w:p>
            <w:pPr>
              <w:keepNext/>
            </w:pPr>
            <w:r>
              <w:rPr>
                <w:sz w:val="17"/>
              </w:rPr>
              <w:t>Interconnection request</w:t>
            </w:r>
          </w:p>
        </w:tc>
        <w:tc>
          <w:tcPr>
            <w:tcW w:type="dxa" w:w="1560"/>
          </w:tcPr>
          <w:p>
            <w:pPr>
              <w:keepNext/>
            </w:pPr>
            <w:r>
              <w:rPr>
                <w:sz w:val="17"/>
              </w:rPr>
              <w:t>0.35</w:t>
            </w:r>
          </w:p>
        </w:tc>
        <w:tc>
          <w:tcPr>
            <w:tcW w:type="dxa" w:w="1560"/>
          </w:tcPr>
          <w:p>
            <w:pPr>
              <w:keepNext/>
            </w:pPr>
            <w:r>
              <w:rPr>
                <w:sz w:val="17"/>
              </w:rPr>
              <w:t>0.50</w:t>
            </w:r>
          </w:p>
        </w:tc>
        <w:tc>
          <w:tcPr>
            <w:tcW w:type="dxa" w:w="1560"/>
          </w:tcPr>
          <w:p>
            <w:pPr>
              <w:keepNext/>
            </w:pPr>
            <w:r>
              <w:rPr>
                <w:sz w:val="17"/>
              </w:rPr>
              <w:t>0.65</w:t>
            </w:r>
          </w:p>
        </w:tc>
        <w:tc>
          <w:tcPr>
            <w:tcW w:type="dxa" w:w="1560"/>
          </w:tcPr>
          <w:p>
            <w:pPr>
              <w:keepNext/>
            </w:pPr>
            <w:r>
              <w:rPr>
                <w:sz w:val="17"/>
              </w:rPr>
              <w:t>1.5</w:t>
            </w:r>
          </w:p>
        </w:tc>
        <w:tc>
          <w:tcPr>
            <w:tcW w:type="dxa" w:w="1560"/>
          </w:tcPr>
          <w:p>
            <w:pPr>
              <w:keepNext/>
            </w:pPr>
            <w:r>
              <w:rPr>
                <w:sz w:val="17"/>
              </w:rPr>
              <w:t>3</w:t>
            </w:r>
          </w:p>
        </w:tc>
      </w:tr>
      <w:tr>
        <w:trPr>
          <w:cantSplit w:val="true"/>
        </w:trPr>
        <w:tc>
          <w:tcPr>
            <w:tcW w:type="dxa" w:w="1560"/>
          </w:tcPr>
          <w:p>
            <w:pPr>
              <w:keepNext/>
            </w:pPr>
            <w:r>
              <w:rPr>
                <w:sz w:val="17"/>
              </w:rPr>
              <w:t>ESA signed</w:t>
            </w:r>
          </w:p>
        </w:tc>
        <w:tc>
          <w:tcPr>
            <w:tcW w:type="dxa" w:w="1560"/>
          </w:tcPr>
          <w:p>
            <w:pPr>
              <w:keepNext/>
            </w:pPr>
            <w:r>
              <w:rPr>
                <w:sz w:val="17"/>
              </w:rPr>
              <w:t>0.65</w:t>
            </w:r>
          </w:p>
        </w:tc>
        <w:tc>
          <w:tcPr>
            <w:tcW w:type="dxa" w:w="1560"/>
          </w:tcPr>
          <w:p>
            <w:pPr>
              <w:keepNext/>
            </w:pPr>
            <w:r>
              <w:rPr>
                <w:sz w:val="17"/>
              </w:rPr>
              <w:t>0.80</w:t>
            </w:r>
          </w:p>
        </w:tc>
        <w:tc>
          <w:tcPr>
            <w:tcW w:type="dxa" w:w="1560"/>
          </w:tcPr>
          <w:p>
            <w:pPr>
              <w:keepNext/>
            </w:pPr>
            <w:r>
              <w:rPr>
                <w:sz w:val="17"/>
              </w:rPr>
              <w:t>0.90</w:t>
            </w:r>
          </w:p>
        </w:tc>
        <w:tc>
          <w:tcPr>
            <w:tcW w:type="dxa" w:w="1560"/>
          </w:tcPr>
          <w:p>
            <w:pPr>
              <w:keepNext/>
            </w:pPr>
            <w:r>
              <w:rPr>
                <w:sz w:val="17"/>
              </w:rPr>
              <w:t>1.0</w:t>
            </w:r>
          </w:p>
        </w:tc>
        <w:tc>
          <w:tcPr>
            <w:tcW w:type="dxa" w:w="1560"/>
          </w:tcPr>
          <w:p>
            <w:pPr>
              <w:keepNext/>
            </w:pPr>
            <w:r>
              <w:rPr>
                <w:sz w:val="17"/>
              </w:rPr>
              <w:t>3</w:t>
            </w:r>
          </w:p>
        </w:tc>
      </w:tr>
      <w:tr>
        <w:trPr>
          <w:cantSplit w:val="true"/>
        </w:trPr>
        <w:tc>
          <w:tcPr>
            <w:tcW w:type="dxa" w:w="1560"/>
          </w:tcPr>
          <w:p>
            <w:pPr>
              <w:keepNext/>
            </w:pPr>
            <w:r>
              <w:rPr>
                <w:sz w:val="17"/>
              </w:rPr>
              <w:t>Under construction</w:t>
            </w:r>
          </w:p>
        </w:tc>
        <w:tc>
          <w:tcPr>
            <w:tcW w:type="dxa" w:w="1560"/>
          </w:tcPr>
          <w:p>
            <w:pPr>
              <w:keepNext/>
            </w:pPr>
            <w:r>
              <w:rPr>
                <w:sz w:val="17"/>
              </w:rPr>
              <w:t>0.85</w:t>
            </w:r>
          </w:p>
        </w:tc>
        <w:tc>
          <w:tcPr>
            <w:tcW w:type="dxa" w:w="1560"/>
          </w:tcPr>
          <w:p>
            <w:pPr>
              <w:keepNext/>
            </w:pPr>
            <w:r>
              <w:rPr>
                <w:sz w:val="17"/>
              </w:rPr>
              <w:t>0.92</w:t>
            </w:r>
          </w:p>
        </w:tc>
        <w:tc>
          <w:tcPr>
            <w:tcW w:type="dxa" w:w="1560"/>
          </w:tcPr>
          <w:p>
            <w:pPr>
              <w:keepNext/>
            </w:pPr>
            <w:r>
              <w:rPr>
                <w:sz w:val="17"/>
              </w:rPr>
              <w:t>0.97</w:t>
            </w:r>
          </w:p>
        </w:tc>
        <w:tc>
          <w:tcPr>
            <w:tcW w:type="dxa" w:w="1560"/>
          </w:tcPr>
          <w:p>
            <w:pPr>
              <w:keepNext/>
            </w:pPr>
            <w:r>
              <w:rPr>
                <w:sz w:val="17"/>
              </w:rPr>
              <w:t>0.5</w:t>
            </w:r>
          </w:p>
        </w:tc>
        <w:tc>
          <w:tcPr>
            <w:tcW w:type="dxa" w:w="1560"/>
          </w:tcPr>
          <w:p>
            <w:pPr>
              <w:keepNext/>
            </w:pPr>
            <w:r>
              <w:rPr>
                <w:sz w:val="17"/>
              </w:rPr>
              <w:t>3</w:t>
            </w:r>
          </w:p>
        </w:tc>
      </w:tr>
      <w:tr>
        <w:trPr>
          <w:cantSplit w:val="true"/>
        </w:trPr>
        <w:tc>
          <w:tcPr>
            <w:tcW w:type="dxa" w:w="1560"/>
          </w:tcPr>
          <w:p>
            <w:r>
              <w:rPr>
                <w:sz w:val="17"/>
              </w:rPr>
              <w:t>Energized</w:t>
            </w:r>
          </w:p>
        </w:tc>
        <w:tc>
          <w:tcPr>
            <w:tcW w:type="dxa" w:w="1560"/>
          </w:tcPr>
          <w:p>
            <w:r>
              <w:rPr>
                <w:sz w:val="17"/>
              </w:rPr>
              <w:t>1.00</w:t>
            </w:r>
          </w:p>
        </w:tc>
        <w:tc>
          <w:tcPr>
            <w:tcW w:type="dxa" w:w="1560"/>
          </w:tcPr>
          <w:p>
            <w:r>
              <w:rPr>
                <w:sz w:val="17"/>
              </w:rPr>
              <w:t>1.00</w:t>
            </w:r>
          </w:p>
        </w:tc>
        <w:tc>
          <w:tcPr>
            <w:tcW w:type="dxa" w:w="1560"/>
          </w:tcPr>
          <w:p>
            <w:r>
              <w:rPr>
                <w:sz w:val="17"/>
              </w:rPr>
              <w:t>1.00</w:t>
            </w:r>
          </w:p>
        </w:tc>
        <w:tc>
          <w:tcPr>
            <w:tcW w:type="dxa" w:w="1560"/>
          </w:tcPr>
          <w:p>
            <w:r>
              <w:rPr>
                <w:sz w:val="17"/>
              </w:rPr>
              <w:t>0.0</w:t>
            </w:r>
          </w:p>
        </w:tc>
        <w:tc>
          <w:tcPr>
            <w:tcW w:type="dxa" w:w="1560"/>
          </w:tcPr>
          <w:p>
            <w:r>
              <w:rPr>
                <w:sz w:val="17"/>
              </w:rPr>
              <w:t>1</w:t>
            </w:r>
          </w:p>
        </w:tc>
      </w:tr>
    </w:tbl>
    <w:p/>
    <w:p>
      <w:r>
        <w:rPr>
          <w:b w:val="0"/>
          <w:i w:val="0"/>
        </w:rPr>
        <w:t>Base probabilities are anchored to evidence that most early-stage requests never materialize: only 13% of the capacity that entered U.S. interconnection queues in 2000–2020 had reached commercial operation by the end of 2025 (Rand et al.), and utilities expect actual data center load to be a small fraction of what is requested, with industry estimates of five to ten times more requests than projects built (Martucci), which supports probabilities of 0.20–0.50 for announced, zoned, and interconnection-request projects. Contractual commitment sharply raises completion odds, since the 12.0 GW Dominion holds under electric service agreements ("Dominion Q2 2026 Slides") will face GS-5 minimum charges of 85% of contracted transmission and distribution demand and 60% of generation demand, plus collateral, from January 2027 (Pampaloni), which supports probabilities of 0.80 for ESA-signed and 0.92 for construction-stage projects. No pre-energization stage is treated as certain, because large Virginia proposals continue to fail, including a 2,100-acre, 37-building Prince William County campus withdrawn in July 2026 (Zhang and Siddiki).</w:t>
      </w:r>
    </w:p>
    <w:p>
      <w:r>
        <w:rPr>
          <w:b w:val="0"/>
          <w:i w:val="0"/>
        </w:rPr>
        <w:t>Projects are not independent: an AI investment slowdown, equipment shortages, or local opposition would affect many of them at once. Each Monte Carlo draw therefore applies one shared shock that shifts every project's build probability (logit-scale standard deviation 0.75) and one shared multiplier on delays (log-scale standard deviation 0.4). Both spreads are assumptions; the independent-project range is reported alongside for comparison.</w:t>
      </w:r>
    </w:p>
    <w:p>
      <w:pPr>
        <w:pStyle w:val="Heading2"/>
      </w:pPr>
      <w:r>
        <w:t>5.3 Results</w:t>
      </w:r>
    </w:p>
    <w:p>
      <w:pPr>
        <w:keepNext/>
      </w:pPr>
      <w:r>
        <w:rPr>
          <w:b w:val="0"/>
          <w:i/>
          <w:sz w:val="18"/>
        </w:rPr>
        <w:t>Table 9. Incremental data center peak load by scenario and Monte Carlo percentile</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rPr>
          <w:cantSplit w:val="true"/>
          <w:tblHeader w:val="true"/>
        </w:trPr>
        <w:tc>
          <w:tcPr>
            <w:tcW w:type="dxa" w:w="1337"/>
            <w:shd w:val="clear" w:color="auto" w:fill="DCE6F1"/>
          </w:tcPr>
          <w:p>
            <w:pPr>
              <w:keepNext/>
            </w:pPr>
            <w:r>
              <w:rPr>
                <w:b/>
                <w:sz w:val="17"/>
              </w:rPr>
              <w:t>Year</w:t>
            </w:r>
          </w:p>
        </w:tc>
        <w:tc>
          <w:tcPr>
            <w:tcW w:type="dxa" w:w="1337"/>
            <w:shd w:val="clear" w:color="auto" w:fill="DCE6F1"/>
          </w:tcPr>
          <w:p>
            <w:pPr>
              <w:keepNext/>
            </w:pPr>
            <w:r>
              <w:rPr>
                <w:b/>
                <w:sz w:val="17"/>
              </w:rPr>
              <w:t>Low (MW)</w:t>
            </w:r>
          </w:p>
        </w:tc>
        <w:tc>
          <w:tcPr>
            <w:tcW w:type="dxa" w:w="1337"/>
            <w:shd w:val="clear" w:color="auto" w:fill="DCE6F1"/>
          </w:tcPr>
          <w:p>
            <w:pPr>
              <w:keepNext/>
            </w:pPr>
            <w:r>
              <w:rPr>
                <w:b/>
                <w:sz w:val="17"/>
              </w:rPr>
              <w:t>Base (MW)</w:t>
            </w:r>
          </w:p>
        </w:tc>
        <w:tc>
          <w:tcPr>
            <w:tcW w:type="dxa" w:w="1337"/>
            <w:shd w:val="clear" w:color="auto" w:fill="DCE6F1"/>
          </w:tcPr>
          <w:p>
            <w:pPr>
              <w:keepNext/>
            </w:pPr>
            <w:r>
              <w:rPr>
                <w:b/>
                <w:sz w:val="17"/>
              </w:rPr>
              <w:t>High (MW)</w:t>
            </w:r>
          </w:p>
        </w:tc>
        <w:tc>
          <w:tcPr>
            <w:tcW w:type="dxa" w:w="1337"/>
            <w:shd w:val="clear" w:color="auto" w:fill="DCE6F1"/>
          </w:tcPr>
          <w:p>
            <w:pPr>
              <w:keepNext/>
            </w:pPr>
            <w:r>
              <w:rPr>
                <w:b/>
                <w:sz w:val="17"/>
              </w:rPr>
              <w:t>Monte Carlo 5th pct.</w:t>
            </w:r>
          </w:p>
        </w:tc>
        <w:tc>
          <w:tcPr>
            <w:tcW w:type="dxa" w:w="1337"/>
            <w:shd w:val="clear" w:color="auto" w:fill="DCE6F1"/>
          </w:tcPr>
          <w:p>
            <w:pPr>
              <w:keepNext/>
            </w:pPr>
            <w:r>
              <w:rPr>
                <w:b/>
                <w:sz w:val="17"/>
              </w:rPr>
              <w:t>Monte Carlo median</w:t>
            </w:r>
          </w:p>
        </w:tc>
        <w:tc>
          <w:tcPr>
            <w:tcW w:type="dxa" w:w="1337"/>
            <w:shd w:val="clear" w:color="auto" w:fill="DCE6F1"/>
          </w:tcPr>
          <w:p>
            <w:pPr>
              <w:keepNext/>
            </w:pPr>
            <w:r>
              <w:rPr>
                <w:b/>
                <w:sz w:val="17"/>
              </w:rPr>
              <w:t>Monte Carlo 95th pct.</w:t>
            </w:r>
          </w:p>
        </w:tc>
      </w:tr>
      <w:tr>
        <w:trPr>
          <w:cantSplit w:val="true"/>
        </w:trPr>
        <w:tc>
          <w:tcPr>
            <w:tcW w:type="dxa" w:w="1337"/>
          </w:tcPr>
          <w:p>
            <w:pPr>
              <w:keepNext/>
            </w:pPr>
            <w:r>
              <w:rPr>
                <w:sz w:val="17"/>
              </w:rPr>
              <w:t>2025</w:t>
            </w:r>
          </w:p>
        </w:tc>
        <w:tc>
          <w:tcPr>
            <w:tcW w:type="dxa" w:w="1337"/>
          </w:tcPr>
          <w:p>
            <w:pPr>
              <w:keepNext/>
            </w:pPr>
            <w:r>
              <w:rPr>
                <w:sz w:val="17"/>
              </w:rPr>
              <w:t>8</w:t>
            </w:r>
          </w:p>
        </w:tc>
        <w:tc>
          <w:tcPr>
            <w:tcW w:type="dxa" w:w="1337"/>
          </w:tcPr>
          <w:p>
            <w:pPr>
              <w:keepNext/>
            </w:pPr>
            <w:r>
              <w:rPr>
                <w:sz w:val="17"/>
              </w:rPr>
              <w:t>158</w:t>
            </w:r>
          </w:p>
        </w:tc>
        <w:tc>
          <w:tcPr>
            <w:tcW w:type="dxa" w:w="1337"/>
          </w:tcPr>
          <w:p>
            <w:pPr>
              <w:keepNext/>
            </w:pPr>
            <w:r>
              <w:rPr>
                <w:sz w:val="17"/>
              </w:rPr>
              <w:t>409</w:t>
            </w:r>
          </w:p>
        </w:tc>
        <w:tc>
          <w:tcPr>
            <w:tcW w:type="dxa" w:w="1337"/>
          </w:tcPr>
          <w:p>
            <w:pPr>
              <w:keepNext/>
            </w:pPr>
            <w:r>
              <w:rPr>
                <w:sz w:val="17"/>
              </w:rPr>
              <w:t>11</w:t>
            </w:r>
          </w:p>
        </w:tc>
        <w:tc>
          <w:tcPr>
            <w:tcW w:type="dxa" w:w="1337"/>
          </w:tcPr>
          <w:p>
            <w:pPr>
              <w:keepNext/>
            </w:pPr>
            <w:r>
              <w:rPr>
                <w:sz w:val="17"/>
              </w:rPr>
              <w:t>159</w:t>
            </w:r>
          </w:p>
        </w:tc>
        <w:tc>
          <w:tcPr>
            <w:tcW w:type="dxa" w:w="1337"/>
          </w:tcPr>
          <w:p>
            <w:pPr>
              <w:keepNext/>
            </w:pPr>
            <w:r>
              <w:rPr>
                <w:sz w:val="17"/>
              </w:rPr>
              <w:t>324</w:t>
            </w:r>
          </w:p>
        </w:tc>
      </w:tr>
      <w:tr>
        <w:trPr>
          <w:cantSplit w:val="true"/>
        </w:trPr>
        <w:tc>
          <w:tcPr>
            <w:tcW w:type="dxa" w:w="1337"/>
          </w:tcPr>
          <w:p>
            <w:pPr>
              <w:keepNext/>
            </w:pPr>
            <w:r>
              <w:rPr>
                <w:sz w:val="17"/>
              </w:rPr>
              <w:t>2026</w:t>
            </w:r>
          </w:p>
        </w:tc>
        <w:tc>
          <w:tcPr>
            <w:tcW w:type="dxa" w:w="1337"/>
          </w:tcPr>
          <w:p>
            <w:pPr>
              <w:keepNext/>
            </w:pPr>
            <w:r>
              <w:rPr>
                <w:sz w:val="17"/>
              </w:rPr>
              <w:t>169</w:t>
            </w:r>
          </w:p>
        </w:tc>
        <w:tc>
          <w:tcPr>
            <w:tcW w:type="dxa" w:w="1337"/>
          </w:tcPr>
          <w:p>
            <w:pPr>
              <w:keepNext/>
            </w:pPr>
            <w:r>
              <w:rPr>
                <w:sz w:val="17"/>
              </w:rPr>
              <w:t>483</w:t>
            </w:r>
          </w:p>
        </w:tc>
        <w:tc>
          <w:tcPr>
            <w:tcW w:type="dxa" w:w="1337"/>
          </w:tcPr>
          <w:p>
            <w:pPr>
              <w:keepNext/>
            </w:pPr>
            <w:r>
              <w:rPr>
                <w:sz w:val="17"/>
              </w:rPr>
              <w:t>993</w:t>
            </w:r>
          </w:p>
        </w:tc>
        <w:tc>
          <w:tcPr>
            <w:tcW w:type="dxa" w:w="1337"/>
          </w:tcPr>
          <w:p>
            <w:pPr>
              <w:keepNext/>
            </w:pPr>
            <w:r>
              <w:rPr>
                <w:sz w:val="17"/>
              </w:rPr>
              <w:t>200</w:t>
            </w:r>
          </w:p>
        </w:tc>
        <w:tc>
          <w:tcPr>
            <w:tcW w:type="dxa" w:w="1337"/>
          </w:tcPr>
          <w:p>
            <w:pPr>
              <w:keepNext/>
            </w:pPr>
            <w:r>
              <w:rPr>
                <w:sz w:val="17"/>
              </w:rPr>
              <w:t>466</w:t>
            </w:r>
          </w:p>
        </w:tc>
        <w:tc>
          <w:tcPr>
            <w:tcW w:type="dxa" w:w="1337"/>
          </w:tcPr>
          <w:p>
            <w:pPr>
              <w:keepNext/>
            </w:pPr>
            <w:r>
              <w:rPr>
                <w:sz w:val="17"/>
              </w:rPr>
              <w:t>743</w:t>
            </w:r>
          </w:p>
        </w:tc>
      </w:tr>
      <w:tr>
        <w:trPr>
          <w:cantSplit w:val="true"/>
        </w:trPr>
        <w:tc>
          <w:tcPr>
            <w:tcW w:type="dxa" w:w="1337"/>
          </w:tcPr>
          <w:p>
            <w:pPr>
              <w:keepNext/>
            </w:pPr>
            <w:r>
              <w:rPr>
                <w:sz w:val="17"/>
              </w:rPr>
              <w:t>2027</w:t>
            </w:r>
          </w:p>
        </w:tc>
        <w:tc>
          <w:tcPr>
            <w:tcW w:type="dxa" w:w="1337"/>
          </w:tcPr>
          <w:p>
            <w:pPr>
              <w:keepNext/>
            </w:pPr>
            <w:r>
              <w:rPr>
                <w:sz w:val="17"/>
              </w:rPr>
              <w:t>707</w:t>
            </w:r>
          </w:p>
        </w:tc>
        <w:tc>
          <w:tcPr>
            <w:tcW w:type="dxa" w:w="1337"/>
          </w:tcPr>
          <w:p>
            <w:pPr>
              <w:keepNext/>
            </w:pPr>
            <w:r>
              <w:rPr>
                <w:sz w:val="17"/>
              </w:rPr>
              <w:t>1,216</w:t>
            </w:r>
          </w:p>
        </w:tc>
        <w:tc>
          <w:tcPr>
            <w:tcW w:type="dxa" w:w="1337"/>
          </w:tcPr>
          <w:p>
            <w:pPr>
              <w:keepNext/>
            </w:pPr>
            <w:r>
              <w:rPr>
                <w:sz w:val="17"/>
              </w:rPr>
              <w:t>2,007</w:t>
            </w:r>
          </w:p>
        </w:tc>
        <w:tc>
          <w:tcPr>
            <w:tcW w:type="dxa" w:w="1337"/>
          </w:tcPr>
          <w:p>
            <w:pPr>
              <w:keepNext/>
            </w:pPr>
            <w:r>
              <w:rPr>
                <w:sz w:val="17"/>
              </w:rPr>
              <w:t>666</w:t>
            </w:r>
          </w:p>
        </w:tc>
        <w:tc>
          <w:tcPr>
            <w:tcW w:type="dxa" w:w="1337"/>
          </w:tcPr>
          <w:p>
            <w:pPr>
              <w:keepNext/>
            </w:pPr>
            <w:r>
              <w:rPr>
                <w:sz w:val="17"/>
              </w:rPr>
              <w:t>1,256</w:t>
            </w:r>
          </w:p>
        </w:tc>
        <w:tc>
          <w:tcPr>
            <w:tcW w:type="dxa" w:w="1337"/>
          </w:tcPr>
          <w:p>
            <w:pPr>
              <w:keepNext/>
            </w:pPr>
            <w:r>
              <w:rPr>
                <w:sz w:val="17"/>
              </w:rPr>
              <w:t>1,841</w:t>
            </w:r>
          </w:p>
        </w:tc>
      </w:tr>
      <w:tr>
        <w:trPr>
          <w:cantSplit w:val="true"/>
        </w:trPr>
        <w:tc>
          <w:tcPr>
            <w:tcW w:type="dxa" w:w="1337"/>
          </w:tcPr>
          <w:p>
            <w:pPr>
              <w:keepNext/>
            </w:pPr>
            <w:r>
              <w:rPr>
                <w:sz w:val="17"/>
              </w:rPr>
              <w:t>2028</w:t>
            </w:r>
          </w:p>
        </w:tc>
        <w:tc>
          <w:tcPr>
            <w:tcW w:type="dxa" w:w="1337"/>
          </w:tcPr>
          <w:p>
            <w:pPr>
              <w:keepNext/>
            </w:pPr>
            <w:r>
              <w:rPr>
                <w:sz w:val="17"/>
              </w:rPr>
              <w:t>1,922</w:t>
            </w:r>
          </w:p>
        </w:tc>
        <w:tc>
          <w:tcPr>
            <w:tcW w:type="dxa" w:w="1337"/>
          </w:tcPr>
          <w:p>
            <w:pPr>
              <w:keepNext/>
            </w:pPr>
            <w:r>
              <w:rPr>
                <w:sz w:val="17"/>
              </w:rPr>
              <w:t>2,768</w:t>
            </w:r>
          </w:p>
        </w:tc>
        <w:tc>
          <w:tcPr>
            <w:tcW w:type="dxa" w:w="1337"/>
          </w:tcPr>
          <w:p>
            <w:pPr>
              <w:keepNext/>
            </w:pPr>
            <w:r>
              <w:rPr>
                <w:sz w:val="17"/>
              </w:rPr>
              <w:t>3,951</w:t>
            </w:r>
          </w:p>
        </w:tc>
        <w:tc>
          <w:tcPr>
            <w:tcW w:type="dxa" w:w="1337"/>
          </w:tcPr>
          <w:p>
            <w:pPr>
              <w:keepNext/>
            </w:pPr>
            <w:r>
              <w:rPr>
                <w:sz w:val="17"/>
              </w:rPr>
              <w:t>1,588</w:t>
            </w:r>
          </w:p>
        </w:tc>
        <w:tc>
          <w:tcPr>
            <w:tcW w:type="dxa" w:w="1337"/>
          </w:tcPr>
          <w:p>
            <w:pPr>
              <w:keepNext/>
            </w:pPr>
            <w:r>
              <w:rPr>
                <w:sz w:val="17"/>
              </w:rPr>
              <w:t>2,742</w:t>
            </w:r>
          </w:p>
        </w:tc>
        <w:tc>
          <w:tcPr>
            <w:tcW w:type="dxa" w:w="1337"/>
          </w:tcPr>
          <w:p>
            <w:pPr>
              <w:keepNext/>
            </w:pPr>
            <w:r>
              <w:rPr>
                <w:sz w:val="17"/>
              </w:rPr>
              <w:t>3,947</w:t>
            </w:r>
          </w:p>
        </w:tc>
      </w:tr>
      <w:tr>
        <w:trPr>
          <w:cantSplit w:val="true"/>
        </w:trPr>
        <w:tc>
          <w:tcPr>
            <w:tcW w:type="dxa" w:w="1337"/>
          </w:tcPr>
          <w:p>
            <w:pPr>
              <w:keepNext/>
            </w:pPr>
            <w:r>
              <w:rPr>
                <w:sz w:val="17"/>
              </w:rPr>
              <w:t>2029</w:t>
            </w:r>
          </w:p>
        </w:tc>
        <w:tc>
          <w:tcPr>
            <w:tcW w:type="dxa" w:w="1337"/>
          </w:tcPr>
          <w:p>
            <w:pPr>
              <w:keepNext/>
            </w:pPr>
            <w:r>
              <w:rPr>
                <w:sz w:val="17"/>
              </w:rPr>
              <w:t>3,506</w:t>
            </w:r>
          </w:p>
        </w:tc>
        <w:tc>
          <w:tcPr>
            <w:tcW w:type="dxa" w:w="1337"/>
          </w:tcPr>
          <w:p>
            <w:pPr>
              <w:keepNext/>
            </w:pPr>
            <w:r>
              <w:rPr>
                <w:sz w:val="17"/>
              </w:rPr>
              <w:t>4,874</w:t>
            </w:r>
          </w:p>
        </w:tc>
        <w:tc>
          <w:tcPr>
            <w:tcW w:type="dxa" w:w="1337"/>
          </w:tcPr>
          <w:p>
            <w:pPr>
              <w:keepNext/>
            </w:pPr>
            <w:r>
              <w:rPr>
                <w:sz w:val="17"/>
              </w:rPr>
              <w:t>6,640</w:t>
            </w:r>
          </w:p>
        </w:tc>
        <w:tc>
          <w:tcPr>
            <w:tcW w:type="dxa" w:w="1337"/>
          </w:tcPr>
          <w:p>
            <w:pPr>
              <w:keepNext/>
            </w:pPr>
            <w:r>
              <w:rPr>
                <w:sz w:val="17"/>
              </w:rPr>
              <w:t>2,853</w:t>
            </w:r>
          </w:p>
        </w:tc>
        <w:tc>
          <w:tcPr>
            <w:tcW w:type="dxa" w:w="1337"/>
          </w:tcPr>
          <w:p>
            <w:pPr>
              <w:keepNext/>
            </w:pPr>
            <w:r>
              <w:rPr>
                <w:sz w:val="17"/>
              </w:rPr>
              <w:t>4,663</w:t>
            </w:r>
          </w:p>
        </w:tc>
        <w:tc>
          <w:tcPr>
            <w:tcW w:type="dxa" w:w="1337"/>
          </w:tcPr>
          <w:p>
            <w:pPr>
              <w:keepNext/>
            </w:pPr>
            <w:r>
              <w:rPr>
                <w:sz w:val="17"/>
              </w:rPr>
              <w:t>6,543</w:t>
            </w:r>
          </w:p>
        </w:tc>
      </w:tr>
      <w:tr>
        <w:trPr>
          <w:cantSplit w:val="true"/>
        </w:trPr>
        <w:tc>
          <w:tcPr>
            <w:tcW w:type="dxa" w:w="1337"/>
          </w:tcPr>
          <w:p>
            <w:pPr>
              <w:keepNext/>
            </w:pPr>
            <w:r>
              <w:rPr>
                <w:sz w:val="17"/>
              </w:rPr>
              <w:t>2030</w:t>
            </w:r>
          </w:p>
        </w:tc>
        <w:tc>
          <w:tcPr>
            <w:tcW w:type="dxa" w:w="1337"/>
          </w:tcPr>
          <w:p>
            <w:pPr>
              <w:keepNext/>
            </w:pPr>
            <w:r>
              <w:rPr>
                <w:sz w:val="17"/>
              </w:rPr>
              <w:t>5,118</w:t>
            </w:r>
          </w:p>
        </w:tc>
        <w:tc>
          <w:tcPr>
            <w:tcW w:type="dxa" w:w="1337"/>
          </w:tcPr>
          <w:p>
            <w:pPr>
              <w:keepNext/>
            </w:pPr>
            <w:r>
              <w:rPr>
                <w:sz w:val="17"/>
              </w:rPr>
              <w:t>7,068</w:t>
            </w:r>
          </w:p>
        </w:tc>
        <w:tc>
          <w:tcPr>
            <w:tcW w:type="dxa" w:w="1337"/>
          </w:tcPr>
          <w:p>
            <w:pPr>
              <w:keepNext/>
            </w:pPr>
            <w:r>
              <w:rPr>
                <w:sz w:val="17"/>
              </w:rPr>
              <w:t>9,456</w:t>
            </w:r>
          </w:p>
        </w:tc>
        <w:tc>
          <w:tcPr>
            <w:tcW w:type="dxa" w:w="1337"/>
          </w:tcPr>
          <w:p>
            <w:pPr>
              <w:keepNext/>
            </w:pPr>
            <w:r>
              <w:rPr>
                <w:sz w:val="17"/>
              </w:rPr>
              <w:t>4,238</w:t>
            </w:r>
          </w:p>
        </w:tc>
        <w:tc>
          <w:tcPr>
            <w:tcW w:type="dxa" w:w="1337"/>
          </w:tcPr>
          <w:p>
            <w:pPr>
              <w:keepNext/>
            </w:pPr>
            <w:r>
              <w:rPr>
                <w:sz w:val="17"/>
              </w:rPr>
              <w:t>6,623</w:t>
            </w:r>
          </w:p>
        </w:tc>
        <w:tc>
          <w:tcPr>
            <w:tcW w:type="dxa" w:w="1337"/>
          </w:tcPr>
          <w:p>
            <w:pPr>
              <w:keepNext/>
            </w:pPr>
            <w:r>
              <w:rPr>
                <w:sz w:val="17"/>
              </w:rPr>
              <w:t>9,161</w:t>
            </w:r>
          </w:p>
        </w:tc>
      </w:tr>
      <w:tr>
        <w:trPr>
          <w:cantSplit w:val="true"/>
        </w:trPr>
        <w:tc>
          <w:tcPr>
            <w:tcW w:type="dxa" w:w="1337"/>
          </w:tcPr>
          <w:p>
            <w:pPr>
              <w:keepNext/>
            </w:pPr>
            <w:r>
              <w:rPr>
                <w:sz w:val="17"/>
              </w:rPr>
              <w:t>2031</w:t>
            </w:r>
          </w:p>
        </w:tc>
        <w:tc>
          <w:tcPr>
            <w:tcW w:type="dxa" w:w="1337"/>
          </w:tcPr>
          <w:p>
            <w:pPr>
              <w:keepNext/>
            </w:pPr>
            <w:r>
              <w:rPr>
                <w:sz w:val="17"/>
              </w:rPr>
              <w:t>6,499</w:t>
            </w:r>
          </w:p>
        </w:tc>
        <w:tc>
          <w:tcPr>
            <w:tcW w:type="dxa" w:w="1337"/>
          </w:tcPr>
          <w:p>
            <w:pPr>
              <w:keepNext/>
            </w:pPr>
            <w:r>
              <w:rPr>
                <w:sz w:val="17"/>
              </w:rPr>
              <w:t>9,013</w:t>
            </w:r>
          </w:p>
        </w:tc>
        <w:tc>
          <w:tcPr>
            <w:tcW w:type="dxa" w:w="1337"/>
          </w:tcPr>
          <w:p>
            <w:pPr>
              <w:keepNext/>
            </w:pPr>
            <w:r>
              <w:rPr>
                <w:sz w:val="17"/>
              </w:rPr>
              <w:t>12,012</w:t>
            </w:r>
          </w:p>
        </w:tc>
        <w:tc>
          <w:tcPr>
            <w:tcW w:type="dxa" w:w="1337"/>
          </w:tcPr>
          <w:p>
            <w:pPr>
              <w:keepNext/>
            </w:pPr>
            <w:r>
              <w:rPr>
                <w:sz w:val="17"/>
              </w:rPr>
              <w:t>5,517</w:t>
            </w:r>
          </w:p>
        </w:tc>
        <w:tc>
          <w:tcPr>
            <w:tcW w:type="dxa" w:w="1337"/>
          </w:tcPr>
          <w:p>
            <w:pPr>
              <w:keepNext/>
            </w:pPr>
            <w:r>
              <w:rPr>
                <w:sz w:val="17"/>
              </w:rPr>
              <w:t>8,491</w:t>
            </w:r>
          </w:p>
        </w:tc>
        <w:tc>
          <w:tcPr>
            <w:tcW w:type="dxa" w:w="1337"/>
          </w:tcPr>
          <w:p>
            <w:pPr>
              <w:keepNext/>
            </w:pPr>
            <w:r>
              <w:rPr>
                <w:sz w:val="17"/>
              </w:rPr>
              <w:t>11,566</w:t>
            </w:r>
          </w:p>
        </w:tc>
      </w:tr>
      <w:tr>
        <w:trPr>
          <w:cantSplit w:val="true"/>
        </w:trPr>
        <w:tc>
          <w:tcPr>
            <w:tcW w:type="dxa" w:w="1337"/>
          </w:tcPr>
          <w:p>
            <w:pPr>
              <w:keepNext/>
            </w:pPr>
            <w:r>
              <w:rPr>
                <w:sz w:val="17"/>
              </w:rPr>
              <w:t>2032</w:t>
            </w:r>
          </w:p>
        </w:tc>
        <w:tc>
          <w:tcPr>
            <w:tcW w:type="dxa" w:w="1337"/>
          </w:tcPr>
          <w:p>
            <w:pPr>
              <w:keepNext/>
            </w:pPr>
            <w:r>
              <w:rPr>
                <w:sz w:val="17"/>
              </w:rPr>
              <w:t>7,857</w:t>
            </w:r>
          </w:p>
        </w:tc>
        <w:tc>
          <w:tcPr>
            <w:tcW w:type="dxa" w:w="1337"/>
          </w:tcPr>
          <w:p>
            <w:pPr>
              <w:keepNext/>
            </w:pPr>
            <w:r>
              <w:rPr>
                <w:sz w:val="17"/>
              </w:rPr>
              <w:t>10,919</w:t>
            </w:r>
          </w:p>
        </w:tc>
        <w:tc>
          <w:tcPr>
            <w:tcW w:type="dxa" w:w="1337"/>
          </w:tcPr>
          <w:p>
            <w:pPr>
              <w:keepNext/>
            </w:pPr>
            <w:r>
              <w:rPr>
                <w:sz w:val="17"/>
              </w:rPr>
              <w:t>14,509</w:t>
            </w:r>
          </w:p>
        </w:tc>
        <w:tc>
          <w:tcPr>
            <w:tcW w:type="dxa" w:w="1337"/>
          </w:tcPr>
          <w:p>
            <w:pPr>
              <w:keepNext/>
            </w:pPr>
            <w:r>
              <w:rPr>
                <w:sz w:val="17"/>
              </w:rPr>
              <w:t>6,720</w:t>
            </w:r>
          </w:p>
        </w:tc>
        <w:tc>
          <w:tcPr>
            <w:tcW w:type="dxa" w:w="1337"/>
          </w:tcPr>
          <w:p>
            <w:pPr>
              <w:keepNext/>
            </w:pPr>
            <w:r>
              <w:rPr>
                <w:sz w:val="17"/>
              </w:rPr>
              <w:t>10,255</w:t>
            </w:r>
          </w:p>
        </w:tc>
        <w:tc>
          <w:tcPr>
            <w:tcW w:type="dxa" w:w="1337"/>
          </w:tcPr>
          <w:p>
            <w:pPr>
              <w:keepNext/>
            </w:pPr>
            <w:r>
              <w:rPr>
                <w:sz w:val="17"/>
              </w:rPr>
              <w:t>13,652</w:t>
            </w:r>
          </w:p>
        </w:tc>
      </w:tr>
      <w:tr>
        <w:trPr>
          <w:cantSplit w:val="true"/>
        </w:trPr>
        <w:tc>
          <w:tcPr>
            <w:tcW w:type="dxa" w:w="1337"/>
          </w:tcPr>
          <w:p>
            <w:pPr>
              <w:keepNext/>
            </w:pPr>
            <w:r>
              <w:rPr>
                <w:sz w:val="17"/>
              </w:rPr>
              <w:t>2033</w:t>
            </w:r>
          </w:p>
        </w:tc>
        <w:tc>
          <w:tcPr>
            <w:tcW w:type="dxa" w:w="1337"/>
          </w:tcPr>
          <w:p>
            <w:pPr>
              <w:keepNext/>
            </w:pPr>
            <w:r>
              <w:rPr>
                <w:sz w:val="17"/>
              </w:rPr>
              <w:t>8,719</w:t>
            </w:r>
          </w:p>
        </w:tc>
        <w:tc>
          <w:tcPr>
            <w:tcW w:type="dxa" w:w="1337"/>
          </w:tcPr>
          <w:p>
            <w:pPr>
              <w:keepNext/>
            </w:pPr>
            <w:r>
              <w:rPr>
                <w:sz w:val="17"/>
              </w:rPr>
              <w:t>12,150</w:t>
            </w:r>
          </w:p>
        </w:tc>
        <w:tc>
          <w:tcPr>
            <w:tcW w:type="dxa" w:w="1337"/>
          </w:tcPr>
          <w:p>
            <w:pPr>
              <w:keepNext/>
            </w:pPr>
            <w:r>
              <w:rPr>
                <w:sz w:val="17"/>
              </w:rPr>
              <w:t>16,148</w:t>
            </w:r>
          </w:p>
        </w:tc>
        <w:tc>
          <w:tcPr>
            <w:tcW w:type="dxa" w:w="1337"/>
          </w:tcPr>
          <w:p>
            <w:pPr>
              <w:keepNext/>
            </w:pPr>
            <w:r>
              <w:rPr>
                <w:sz w:val="17"/>
              </w:rPr>
              <w:t>7,692</w:t>
            </w:r>
          </w:p>
        </w:tc>
        <w:tc>
          <w:tcPr>
            <w:tcW w:type="dxa" w:w="1337"/>
          </w:tcPr>
          <w:p>
            <w:pPr>
              <w:keepNext/>
            </w:pPr>
            <w:r>
              <w:rPr>
                <w:sz w:val="17"/>
              </w:rPr>
              <w:t>11,655</w:t>
            </w:r>
          </w:p>
        </w:tc>
        <w:tc>
          <w:tcPr>
            <w:tcW w:type="dxa" w:w="1337"/>
          </w:tcPr>
          <w:p>
            <w:pPr>
              <w:keepNext/>
            </w:pPr>
            <w:r>
              <w:rPr>
                <w:sz w:val="17"/>
              </w:rPr>
              <w:t>15,139</w:t>
            </w:r>
          </w:p>
        </w:tc>
      </w:tr>
      <w:tr>
        <w:trPr>
          <w:cantSplit w:val="true"/>
        </w:trPr>
        <w:tc>
          <w:tcPr>
            <w:tcW w:type="dxa" w:w="1337"/>
          </w:tcPr>
          <w:p>
            <w:pPr>
              <w:keepNext/>
            </w:pPr>
            <w:r>
              <w:rPr>
                <w:sz w:val="17"/>
              </w:rPr>
              <w:t>2034</w:t>
            </w:r>
          </w:p>
        </w:tc>
        <w:tc>
          <w:tcPr>
            <w:tcW w:type="dxa" w:w="1337"/>
          </w:tcPr>
          <w:p>
            <w:pPr>
              <w:keepNext/>
            </w:pPr>
            <w:r>
              <w:rPr>
                <w:sz w:val="17"/>
              </w:rPr>
              <w:t>9,178</w:t>
            </w:r>
          </w:p>
        </w:tc>
        <w:tc>
          <w:tcPr>
            <w:tcW w:type="dxa" w:w="1337"/>
          </w:tcPr>
          <w:p>
            <w:pPr>
              <w:keepNext/>
            </w:pPr>
            <w:r>
              <w:rPr>
                <w:sz w:val="17"/>
              </w:rPr>
              <w:t>12,886</w:t>
            </w:r>
          </w:p>
        </w:tc>
        <w:tc>
          <w:tcPr>
            <w:tcW w:type="dxa" w:w="1337"/>
          </w:tcPr>
          <w:p>
            <w:pPr>
              <w:keepNext/>
            </w:pPr>
            <w:r>
              <w:rPr>
                <w:sz w:val="17"/>
              </w:rPr>
              <w:t>17,229</w:t>
            </w:r>
          </w:p>
        </w:tc>
        <w:tc>
          <w:tcPr>
            <w:tcW w:type="dxa" w:w="1337"/>
          </w:tcPr>
          <w:p>
            <w:pPr>
              <w:keepNext/>
            </w:pPr>
            <w:r>
              <w:rPr>
                <w:sz w:val="17"/>
              </w:rPr>
              <w:t>8,323</w:t>
            </w:r>
          </w:p>
        </w:tc>
        <w:tc>
          <w:tcPr>
            <w:tcW w:type="dxa" w:w="1337"/>
          </w:tcPr>
          <w:p>
            <w:pPr>
              <w:keepNext/>
            </w:pPr>
            <w:r>
              <w:rPr>
                <w:sz w:val="17"/>
              </w:rPr>
              <w:t>12,507</w:t>
            </w:r>
          </w:p>
        </w:tc>
        <w:tc>
          <w:tcPr>
            <w:tcW w:type="dxa" w:w="1337"/>
          </w:tcPr>
          <w:p>
            <w:pPr>
              <w:keepNext/>
            </w:pPr>
            <w:r>
              <w:rPr>
                <w:sz w:val="17"/>
              </w:rPr>
              <w:t>16,073</w:t>
            </w:r>
          </w:p>
        </w:tc>
      </w:tr>
      <w:tr>
        <w:trPr>
          <w:cantSplit w:val="true"/>
        </w:trPr>
        <w:tc>
          <w:tcPr>
            <w:tcW w:type="dxa" w:w="1337"/>
          </w:tcPr>
          <w:p>
            <w:r>
              <w:rPr>
                <w:sz w:val="17"/>
              </w:rPr>
              <w:t>2035</w:t>
            </w:r>
          </w:p>
        </w:tc>
        <w:tc>
          <w:tcPr>
            <w:tcW w:type="dxa" w:w="1337"/>
          </w:tcPr>
          <w:p>
            <w:r>
              <w:rPr>
                <w:sz w:val="17"/>
              </w:rPr>
              <w:t>9,234</w:t>
            </w:r>
          </w:p>
        </w:tc>
        <w:tc>
          <w:tcPr>
            <w:tcW w:type="dxa" w:w="1337"/>
          </w:tcPr>
          <w:p>
            <w:r>
              <w:rPr>
                <w:sz w:val="17"/>
              </w:rPr>
              <w:t>13,126</w:t>
            </w:r>
          </w:p>
        </w:tc>
        <w:tc>
          <w:tcPr>
            <w:tcW w:type="dxa" w:w="1337"/>
          </w:tcPr>
          <w:p>
            <w:r>
              <w:rPr>
                <w:sz w:val="17"/>
              </w:rPr>
              <w:t>17,753</w:t>
            </w:r>
          </w:p>
        </w:tc>
        <w:tc>
          <w:tcPr>
            <w:tcW w:type="dxa" w:w="1337"/>
          </w:tcPr>
          <w:p>
            <w:r>
              <w:rPr>
                <w:sz w:val="17"/>
              </w:rPr>
              <w:t>8,661</w:t>
            </w:r>
          </w:p>
        </w:tc>
        <w:tc>
          <w:tcPr>
            <w:tcW w:type="dxa" w:w="1337"/>
          </w:tcPr>
          <w:p>
            <w:r>
              <w:rPr>
                <w:sz w:val="17"/>
              </w:rPr>
              <w:t>12,957</w:t>
            </w:r>
          </w:p>
        </w:tc>
        <w:tc>
          <w:tcPr>
            <w:tcW w:type="dxa" w:w="1337"/>
          </w:tcPr>
          <w:p>
            <w:r>
              <w:rPr>
                <w:sz w:val="17"/>
              </w:rPr>
              <w:t>16,569</w:t>
            </w:r>
          </w:p>
        </w:tc>
      </w:tr>
    </w:tbl>
    <w:p/>
    <w:p>
      <w:pPr>
        <w:jc w:val="center"/>
      </w:pPr>
      <w:r>
        <w:drawing>
          <wp:inline xmlns:a="http://schemas.openxmlformats.org/drawingml/2006/main" xmlns:pic="http://schemas.openxmlformats.org/drawingml/2006/picture">
            <wp:extent cx="5486400" cy="3086100"/>
            <wp:docPr id="5" name="Picture 5"/>
            <wp:cNvGraphicFramePr>
              <a:graphicFrameLocks noChangeAspect="1"/>
            </wp:cNvGraphicFramePr>
            <a:graphic>
              <a:graphicData uri="http://schemas.openxmlformats.org/drawingml/2006/picture">
                <pic:pic>
                  <pic:nvPicPr>
                    <pic:cNvPr id="0" name="dc_fan_chart.png"/>
                    <pic:cNvPicPr/>
                  </pic:nvPicPr>
                  <pic:blipFill>
                    <a:blip r:embed="rId14"/>
                    <a:stretch>
                      <a:fillRect/>
                    </a:stretch>
                  </pic:blipFill>
                  <pic:spPr>
                    <a:xfrm>
                      <a:off x="0" y="0"/>
                      <a:ext cx="5486400" cy="3086100"/>
                    </a:xfrm>
                    <a:prstGeom prst="rect"/>
                  </pic:spPr>
                </pic:pic>
              </a:graphicData>
            </a:graphic>
          </wp:inline>
        </w:drawing>
      </w:r>
    </w:p>
    <w:p>
      <w:pPr>
        <w:jc w:val="center"/>
      </w:pPr>
      <w:r>
        <w:rPr>
          <w:b w:val="0"/>
          <w:i/>
          <w:sz w:val="18"/>
        </w:rPr>
        <w:t>Figure 5. Monte Carlo distribution of incremental data center peak load (5,000 draws) with deterministic Low/High scenarios.</w:t>
      </w:r>
    </w:p>
    <w:p>
      <w:r>
        <w:rPr>
          <w:b w:val="0"/>
          <w:i w:val="0"/>
        </w:rPr>
        <w:t>The median path reaches 6,623 MW in 2030 and 12,957 MW in 2035; the 5th–95th percentile band in 2035 spans 8,661–16,569 MW, compared with 11,060–15,179 MW if projects were treated as independent. The deterministic Base scenario (13,126 MW in 2035) sits above the Monte Carlo median because delays are drawn from a skewed distribution: projects can slip later but never arrive early.</w:t>
      </w:r>
    </w:p>
    <w:p>
      <w:pPr>
        <w:pStyle w:val="Heading1"/>
      </w:pPr>
      <w:r>
        <w:t>6. Capital Plan and Rate Impact</w:t>
      </w:r>
    </w:p>
    <w:p>
      <w:pPr>
        <w:pStyle w:val="Heading2"/>
      </w:pPr>
      <w:r>
        <w:t>6.1 From load to capacity</w:t>
      </w:r>
    </w:p>
    <w:p>
      <w:r>
        <w:rPr>
          <w:b w:val="0"/>
          <w:i w:val="0"/>
        </w:rPr>
        <w:t>Each year's increase in incremental peak is multiplied by PJM's forecast pool requirement (0.926 accredited MW per MW of peak, equivalent to the installed reserve margin once capacity is counted at its ELCC rating) to give an accredited capacity need, allocated across technologies in fixed proportions, and converted to nameplate by dividing by each technology's effective load-carrying capability. Transmission and distribution capital is added per kW of incremental peak.</w:t>
      </w:r>
    </w:p>
    <w:p>
      <w:pPr>
        <w:keepNext/>
      </w:pPr>
      <w:r>
        <w:rPr>
          <w:b w:val="0"/>
          <w:i/>
          <w:sz w:val="18"/>
        </w:rPr>
        <w:t>Table 10. Resource mix and cost assumptions</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cantSplit w:val="true"/>
          <w:tblHeader w:val="true"/>
        </w:trPr>
        <w:tc>
          <w:tcPr>
            <w:tcW w:type="dxa" w:w="1560"/>
            <w:shd w:val="clear" w:color="auto" w:fill="DCE6F1"/>
          </w:tcPr>
          <w:p>
            <w:pPr>
              <w:keepNext/>
            </w:pPr>
            <w:r>
              <w:rPr>
                <w:b/>
                <w:sz w:val="17"/>
              </w:rPr>
              <w:t>Technology</w:t>
            </w:r>
          </w:p>
        </w:tc>
        <w:tc>
          <w:tcPr>
            <w:tcW w:type="dxa" w:w="1560"/>
            <w:shd w:val="clear" w:color="auto" w:fill="DCE6F1"/>
          </w:tcPr>
          <w:p>
            <w:pPr>
              <w:keepNext/>
            </w:pPr>
            <w:r>
              <w:rPr>
                <w:b/>
                <w:sz w:val="17"/>
              </w:rPr>
              <w:t>Share of accredited need</w:t>
            </w:r>
          </w:p>
        </w:tc>
        <w:tc>
          <w:tcPr>
            <w:tcW w:type="dxa" w:w="1560"/>
            <w:shd w:val="clear" w:color="auto" w:fill="DCE6F1"/>
          </w:tcPr>
          <w:p>
            <w:pPr>
              <w:keepNext/>
            </w:pPr>
            <w:r>
              <w:rPr>
                <w:b/>
                <w:sz w:val="17"/>
              </w:rPr>
              <w:t>ELCC</w:t>
            </w:r>
          </w:p>
        </w:tc>
        <w:tc>
          <w:tcPr>
            <w:tcW w:type="dxa" w:w="1560"/>
            <w:shd w:val="clear" w:color="auto" w:fill="DCE6F1"/>
          </w:tcPr>
          <w:p>
            <w:pPr>
              <w:keepNext/>
            </w:pPr>
            <w:r>
              <w:rPr>
                <w:b/>
                <w:sz w:val="17"/>
              </w:rPr>
              <w:t>Capital $/kW</w:t>
            </w:r>
          </w:p>
        </w:tc>
        <w:tc>
          <w:tcPr>
            <w:tcW w:type="dxa" w:w="1560"/>
            <w:shd w:val="clear" w:color="auto" w:fill="DCE6F1"/>
          </w:tcPr>
          <w:p>
            <w:pPr>
              <w:keepNext/>
            </w:pPr>
            <w:r>
              <w:rPr>
                <w:b/>
                <w:sz w:val="17"/>
              </w:rPr>
              <w:t>Fixed O&amp;M $/kW-yr</w:t>
            </w:r>
          </w:p>
        </w:tc>
        <w:tc>
          <w:tcPr>
            <w:tcW w:type="dxa" w:w="1560"/>
            <w:shd w:val="clear" w:color="auto" w:fill="DCE6F1"/>
          </w:tcPr>
          <w:p>
            <w:pPr>
              <w:keepNext/>
            </w:pPr>
            <w:r>
              <w:rPr>
                <w:b/>
                <w:sz w:val="17"/>
              </w:rPr>
              <w:t>Book life (yr)</w:t>
            </w:r>
          </w:p>
        </w:tc>
      </w:tr>
      <w:tr>
        <w:trPr>
          <w:cantSplit w:val="true"/>
        </w:trPr>
        <w:tc>
          <w:tcPr>
            <w:tcW w:type="dxa" w:w="1560"/>
          </w:tcPr>
          <w:p>
            <w:pPr>
              <w:keepNext/>
            </w:pPr>
            <w:r>
              <w:rPr>
                <w:sz w:val="17"/>
              </w:rPr>
              <w:t>Gas combined cycle</w:t>
            </w:r>
          </w:p>
        </w:tc>
        <w:tc>
          <w:tcPr>
            <w:tcW w:type="dxa" w:w="1560"/>
          </w:tcPr>
          <w:p>
            <w:pPr>
              <w:keepNext/>
            </w:pPr>
            <w:r>
              <w:rPr>
                <w:sz w:val="17"/>
              </w:rPr>
              <w:t>47%</w:t>
            </w:r>
          </w:p>
        </w:tc>
        <w:tc>
          <w:tcPr>
            <w:tcW w:type="dxa" w:w="1560"/>
          </w:tcPr>
          <w:p>
            <w:pPr>
              <w:keepNext/>
            </w:pPr>
            <w:r>
              <w:rPr>
                <w:sz w:val="17"/>
              </w:rPr>
              <w:t>0.74</w:t>
            </w:r>
          </w:p>
        </w:tc>
        <w:tc>
          <w:tcPr>
            <w:tcW w:type="dxa" w:w="1560"/>
          </w:tcPr>
          <w:p>
            <w:pPr>
              <w:keepNext/>
            </w:pPr>
            <w:r>
              <w:rPr>
                <w:sz w:val="17"/>
              </w:rPr>
              <w:t>2,200</w:t>
            </w:r>
          </w:p>
        </w:tc>
        <w:tc>
          <w:tcPr>
            <w:tcW w:type="dxa" w:w="1560"/>
          </w:tcPr>
          <w:p>
            <w:pPr>
              <w:keepNext/>
            </w:pPr>
            <w:r>
              <w:rPr>
                <w:sz w:val="17"/>
              </w:rPr>
              <w:t>12</w:t>
            </w:r>
          </w:p>
        </w:tc>
        <w:tc>
          <w:tcPr>
            <w:tcW w:type="dxa" w:w="1560"/>
          </w:tcPr>
          <w:p>
            <w:pPr>
              <w:keepNext/>
            </w:pPr>
            <w:r>
              <w:rPr>
                <w:sz w:val="17"/>
              </w:rPr>
              <w:t>30</w:t>
            </w:r>
          </w:p>
        </w:tc>
      </w:tr>
      <w:tr>
        <w:trPr>
          <w:cantSplit w:val="true"/>
        </w:trPr>
        <w:tc>
          <w:tcPr>
            <w:tcW w:type="dxa" w:w="1560"/>
          </w:tcPr>
          <w:p>
            <w:pPr>
              <w:keepNext/>
            </w:pPr>
            <w:r>
              <w:rPr>
                <w:sz w:val="17"/>
              </w:rPr>
              <w:t>4-hour storage</w:t>
            </w:r>
          </w:p>
        </w:tc>
        <w:tc>
          <w:tcPr>
            <w:tcW w:type="dxa" w:w="1560"/>
          </w:tcPr>
          <w:p>
            <w:pPr>
              <w:keepNext/>
            </w:pPr>
            <w:r>
              <w:rPr>
                <w:sz w:val="17"/>
              </w:rPr>
              <w:t>28%</w:t>
            </w:r>
          </w:p>
        </w:tc>
        <w:tc>
          <w:tcPr>
            <w:tcW w:type="dxa" w:w="1560"/>
          </w:tcPr>
          <w:p>
            <w:pPr>
              <w:keepNext/>
            </w:pPr>
            <w:r>
              <w:rPr>
                <w:sz w:val="17"/>
              </w:rPr>
              <w:t>0.58</w:t>
            </w:r>
          </w:p>
        </w:tc>
        <w:tc>
          <w:tcPr>
            <w:tcW w:type="dxa" w:w="1560"/>
          </w:tcPr>
          <w:p>
            <w:pPr>
              <w:keepNext/>
            </w:pPr>
            <w:r>
              <w:rPr>
                <w:sz w:val="17"/>
              </w:rPr>
              <w:t>1,580</w:t>
            </w:r>
          </w:p>
        </w:tc>
        <w:tc>
          <w:tcPr>
            <w:tcW w:type="dxa" w:w="1560"/>
          </w:tcPr>
          <w:p>
            <w:pPr>
              <w:keepNext/>
            </w:pPr>
            <w:r>
              <w:rPr>
                <w:sz w:val="17"/>
              </w:rPr>
              <w:t>41</w:t>
            </w:r>
          </w:p>
        </w:tc>
        <w:tc>
          <w:tcPr>
            <w:tcW w:type="dxa" w:w="1560"/>
          </w:tcPr>
          <w:p>
            <w:pPr>
              <w:keepNext/>
            </w:pPr>
            <w:r>
              <w:rPr>
                <w:sz w:val="17"/>
              </w:rPr>
              <w:t>15</w:t>
            </w:r>
          </w:p>
        </w:tc>
      </w:tr>
      <w:tr>
        <w:trPr>
          <w:cantSplit w:val="true"/>
        </w:trPr>
        <w:tc>
          <w:tcPr>
            <w:tcW w:type="dxa" w:w="1560"/>
          </w:tcPr>
          <w:p>
            <w:pPr>
              <w:keepNext/>
            </w:pPr>
            <w:r>
              <w:rPr>
                <w:sz w:val="17"/>
              </w:rPr>
              <w:t>Solar (tracking)</w:t>
            </w:r>
          </w:p>
        </w:tc>
        <w:tc>
          <w:tcPr>
            <w:tcW w:type="dxa" w:w="1560"/>
          </w:tcPr>
          <w:p>
            <w:pPr>
              <w:keepNext/>
            </w:pPr>
            <w:r>
              <w:rPr>
                <w:sz w:val="17"/>
              </w:rPr>
              <w:t>11%</w:t>
            </w:r>
          </w:p>
        </w:tc>
        <w:tc>
          <w:tcPr>
            <w:tcW w:type="dxa" w:w="1560"/>
          </w:tcPr>
          <w:p>
            <w:pPr>
              <w:keepNext/>
            </w:pPr>
            <w:r>
              <w:rPr>
                <w:sz w:val="17"/>
              </w:rPr>
              <w:t>0.08</w:t>
            </w:r>
          </w:p>
        </w:tc>
        <w:tc>
          <w:tcPr>
            <w:tcW w:type="dxa" w:w="1560"/>
          </w:tcPr>
          <w:p>
            <w:pPr>
              <w:keepNext/>
            </w:pPr>
            <w:r>
              <w:rPr>
                <w:sz w:val="17"/>
              </w:rPr>
              <w:t>1,379</w:t>
            </w:r>
          </w:p>
        </w:tc>
        <w:tc>
          <w:tcPr>
            <w:tcW w:type="dxa" w:w="1560"/>
          </w:tcPr>
          <w:p>
            <w:pPr>
              <w:keepNext/>
            </w:pPr>
            <w:r>
              <w:rPr>
                <w:sz w:val="17"/>
              </w:rPr>
              <w:t>23</w:t>
            </w:r>
          </w:p>
        </w:tc>
        <w:tc>
          <w:tcPr>
            <w:tcW w:type="dxa" w:w="1560"/>
          </w:tcPr>
          <w:p>
            <w:pPr>
              <w:keepNext/>
            </w:pPr>
            <w:r>
              <w:rPr>
                <w:sz w:val="17"/>
              </w:rPr>
              <w:t>30</w:t>
            </w:r>
          </w:p>
        </w:tc>
      </w:tr>
      <w:tr>
        <w:trPr>
          <w:cantSplit w:val="true"/>
        </w:trPr>
        <w:tc>
          <w:tcPr>
            <w:tcW w:type="dxa" w:w="1560"/>
          </w:tcPr>
          <w:p>
            <w:r>
              <w:rPr>
                <w:sz w:val="17"/>
              </w:rPr>
              <w:t>Small modular reactor</w:t>
            </w:r>
          </w:p>
        </w:tc>
        <w:tc>
          <w:tcPr>
            <w:tcW w:type="dxa" w:w="1560"/>
          </w:tcPr>
          <w:p>
            <w:r>
              <w:rPr>
                <w:sz w:val="17"/>
              </w:rPr>
              <w:t>14%</w:t>
            </w:r>
          </w:p>
        </w:tc>
        <w:tc>
          <w:tcPr>
            <w:tcW w:type="dxa" w:w="1560"/>
          </w:tcPr>
          <w:p>
            <w:r>
              <w:rPr>
                <w:sz w:val="17"/>
              </w:rPr>
              <w:t>0.95</w:t>
            </w:r>
          </w:p>
        </w:tc>
        <w:tc>
          <w:tcPr>
            <w:tcW w:type="dxa" w:w="1560"/>
          </w:tcPr>
          <w:p>
            <w:r>
              <w:rPr>
                <w:sz w:val="17"/>
              </w:rPr>
              <w:t>9,314</w:t>
            </w:r>
          </w:p>
        </w:tc>
        <w:tc>
          <w:tcPr>
            <w:tcW w:type="dxa" w:w="1560"/>
          </w:tcPr>
          <w:p>
            <w:r>
              <w:rPr>
                <w:sz w:val="17"/>
              </w:rPr>
              <w:t>124</w:t>
            </w:r>
          </w:p>
        </w:tc>
        <w:tc>
          <w:tcPr>
            <w:tcW w:type="dxa" w:w="1560"/>
          </w:tcPr>
          <w:p>
            <w:r>
              <w:rPr>
                <w:sz w:val="17"/>
              </w:rPr>
              <w:t>60</w:t>
            </w:r>
          </w:p>
        </w:tc>
      </w:tr>
    </w:tbl>
    <w:p/>
    <w:p>
      <w:r>
        <w:rPr>
          <w:b w:val="0"/>
          <w:i w:val="0"/>
        </w:rPr>
        <w:t xml:space="preserve">The resource mix reflects the generation additions in Dominion Energy Virginia's 2024 Integrated Resource Plan, which proposes 5.9 GW of natural gas, 12 GW of solar, 4.5 GW of battery storage, and 1.34 GW of small modular reactors through 2039 (DiGangi, "Dominion Unveils"). Weighting each technology by its accredited capacity gives shares of 47% gas, 28% storage, 11% solar, and 14% nuclear; offshore wind is excluded because most of it is already committed independently of data center growth. Accreditation values are PJM's effective load-carrying capability (ELCC) class ratings for the 2027/2028 capacity auction: 74% for gas combined cycle, 58% for four-hour storage, 8% for tracking solar, and 95% for nuclear (PJM Interconnection, </w:t>
      </w:r>
      <w:r>
        <w:rPr>
          <w:b w:val="0"/>
          <w:i/>
        </w:rPr>
        <w:t>ELCC Class Ratings</w:t>
      </w:r>
      <w:r>
        <w:rPr>
          <w:b w:val="0"/>
          <w:i w:val="0"/>
        </w:rPr>
        <w:t xml:space="preserve">). Overnight capital and fixed O&amp;M costs for storage, solar, and small modular reactors are taken from the Energy Information Administration's </w:t>
      </w:r>
      <w:r>
        <w:rPr>
          <w:b w:val="0"/>
          <w:i/>
        </w:rPr>
        <w:t>Annual Energy Outlook 2025</w:t>
      </w:r>
      <w:r>
        <w:rPr>
          <w:b w:val="0"/>
          <w:i w:val="0"/>
        </w:rPr>
        <w:t xml:space="preserve"> assumptions (U.S. Energy Information Administration, </w:t>
      </w:r>
      <w:r>
        <w:rPr>
          <w:b w:val="0"/>
          <w:i/>
        </w:rPr>
        <w:t>Assumptions</w:t>
      </w:r>
      <w:r>
        <w:rPr>
          <w:b w:val="0"/>
          <w:i w:val="0"/>
        </w:rPr>
        <w:t>). The combined-cycle capital cost of $2,200/kW reflects recent project costs of $2,000/kW or more rather than EIA's lower estimate, because turbine shortages have sharply raised prices (GridLab). Book lives and transmission and distribution cost per kW are assumptions.</w:t>
      </w:r>
    </w:p>
    <w:p>
      <w:pPr>
        <w:jc w:val="center"/>
      </w:pPr>
      <w:r>
        <w:drawing>
          <wp:inline xmlns:a="http://schemas.openxmlformats.org/drawingml/2006/main" xmlns:pic="http://schemas.openxmlformats.org/drawingml/2006/picture">
            <wp:extent cx="5486400" cy="2880360"/>
            <wp:docPr id="6" name="Picture 6"/>
            <wp:cNvGraphicFramePr>
              <a:graphicFrameLocks noChangeAspect="1"/>
            </wp:cNvGraphicFramePr>
            <a:graphic>
              <a:graphicData uri="http://schemas.openxmlformats.org/drawingml/2006/picture">
                <pic:pic>
                  <pic:nvPicPr>
                    <pic:cNvPr id="0" name="capex_by_scenario.png"/>
                    <pic:cNvPicPr/>
                  </pic:nvPicPr>
                  <pic:blipFill>
                    <a:blip r:embed="rId15"/>
                    <a:stretch>
                      <a:fillRect/>
                    </a:stretch>
                  </pic:blipFill>
                  <pic:spPr>
                    <a:xfrm>
                      <a:off x="0" y="0"/>
                      <a:ext cx="5486400" cy="2880360"/>
                    </a:xfrm>
                    <a:prstGeom prst="rect"/>
                  </pic:spPr>
                </pic:pic>
              </a:graphicData>
            </a:graphic>
          </wp:inline>
        </w:drawing>
      </w:r>
    </w:p>
    <w:p>
      <w:pPr>
        <w:jc w:val="center"/>
      </w:pPr>
      <w:r>
        <w:rPr>
          <w:b w:val="0"/>
          <w:i/>
          <w:sz w:val="18"/>
        </w:rPr>
        <w:t>Figure 6. Cumulative generation and T&amp;D capital by scenario (nominal $).</w:t>
      </w:r>
    </w:p>
    <w:p>
      <w:pPr>
        <w:jc w:val="center"/>
      </w:pPr>
      <w:r>
        <w:drawing>
          <wp:inline xmlns:a="http://schemas.openxmlformats.org/drawingml/2006/main" xmlns:pic="http://schemas.openxmlformats.org/drawingml/2006/picture">
            <wp:extent cx="5486400" cy="3086100"/>
            <wp:docPr id="7" name="Picture 7"/>
            <wp:cNvGraphicFramePr>
              <a:graphicFrameLocks noChangeAspect="1"/>
            </wp:cNvGraphicFramePr>
            <a:graphic>
              <a:graphicData uri="http://schemas.openxmlformats.org/drawingml/2006/picture">
                <pic:pic>
                  <pic:nvPicPr>
                    <pic:cNvPr id="0" name="capex_by_tech.png"/>
                    <pic:cNvPicPr/>
                  </pic:nvPicPr>
                  <pic:blipFill>
                    <a:blip r:embed="rId16"/>
                    <a:stretch>
                      <a:fillRect/>
                    </a:stretch>
                  </pic:blipFill>
                  <pic:spPr>
                    <a:xfrm>
                      <a:off x="0" y="0"/>
                      <a:ext cx="5486400" cy="3086100"/>
                    </a:xfrm>
                    <a:prstGeom prst="rect"/>
                  </pic:spPr>
                </pic:pic>
              </a:graphicData>
            </a:graphic>
          </wp:inline>
        </w:drawing>
      </w:r>
    </w:p>
    <w:p>
      <w:pPr>
        <w:jc w:val="center"/>
      </w:pPr>
      <w:r>
        <w:rPr>
          <w:b w:val="0"/>
          <w:i/>
          <w:sz w:val="18"/>
        </w:rPr>
        <w:t>Figure 7. Base case annual capital by technology.</w:t>
      </w:r>
    </w:p>
    <w:p>
      <w:r>
        <w:rPr>
          <w:b w:val="0"/>
          <w:i w:val="0"/>
        </w:rPr>
        <w:t>Cumulative 2025–2035 capital is $58.6B (Low), $83.4B (Base) and $112.8B (High).</w:t>
      </w:r>
    </w:p>
    <w:p>
      <w:pPr>
        <w:pStyle w:val="Heading2"/>
      </w:pPr>
      <w:r>
        <w:t>6.2 Revenue requirement, rates and earnings</w:t>
      </w:r>
    </w:p>
    <w:p>
      <w:r>
        <w:rPr>
          <w:b w:val="0"/>
          <w:i w:val="0"/>
        </w:rPr>
        <w:t>Capital enters rate base net of any contribution-in-aid-of-construction and is depreciated straight-line over book life. The incremental revenue requirement is rate base × pre-tax weighted cost of capital plus depreciation, fixed O&amp;M, and incremental energy. The allowed return on equity of 9.8% and equity ratio of 52.0% are those approved in Dominion's 2025 biennial review (Virginia State Corporation Commission; Pampaloni); the cost of debt (5.0%) is an assumption, and the tax rate (25.7%) combines the 21% federal and 6% Virginia corporate rates. Incremental energy is priced at $50.73/MWh, PJM's 2025 load-weighted average real-time price (Monitoring Analytics). In the counterfactual, the system-average rate stays at Virginia's 2024 average retail price of 10.62 ¢/kWh in real terms (U.S. Energy Information Administration, "Virginia Electricity Profile"), a statewide figure used as a proxy for Dominion's territory.</w:t>
      </w:r>
    </w:p>
    <w:p>
      <w:pPr>
        <w:keepNext/>
      </w:pPr>
      <w:r>
        <w:rPr>
          <w:b w:val="0"/>
          <w:i/>
          <w:sz w:val="18"/>
        </w:rPr>
        <w:t>Table 11. Headline results, 2030 and 2035</w:t>
      </w:r>
    </w:p>
    <w:tbl>
      <w:tblPr>
        <w:tblStyle w:val="TableGrid"/>
        <w:tblW w:type="auto" w:w="0"/>
        <w:jc w:val="center"/>
        <w:tblLook w:firstColumn="1" w:firstRow="1" w:lastColumn="0" w:lastRow="0" w:noHBand="0" w:noVBand="1" w:val="04A0"/>
      </w:tblPr>
      <w:tblGrid>
        <w:gridCol w:w="936"/>
        <w:gridCol w:w="936"/>
        <w:gridCol w:w="936"/>
        <w:gridCol w:w="936"/>
        <w:gridCol w:w="936"/>
        <w:gridCol w:w="936"/>
        <w:gridCol w:w="936"/>
        <w:gridCol w:w="936"/>
        <w:gridCol w:w="936"/>
        <w:gridCol w:w="936"/>
      </w:tblGrid>
      <w:tr>
        <w:trPr>
          <w:cantSplit w:val="true"/>
          <w:tblHeader w:val="true"/>
        </w:trPr>
        <w:tc>
          <w:tcPr>
            <w:tcW w:type="dxa" w:w="936"/>
            <w:shd w:val="clear" w:color="auto" w:fill="DCE6F1"/>
          </w:tcPr>
          <w:p>
            <w:pPr>
              <w:keepNext/>
            </w:pPr>
            <w:r>
              <w:rPr>
                <w:b/>
                <w:sz w:val="16"/>
              </w:rPr>
              <w:t>Case</w:t>
            </w:r>
          </w:p>
        </w:tc>
        <w:tc>
          <w:tcPr>
            <w:tcW w:type="dxa" w:w="936"/>
            <w:shd w:val="clear" w:color="auto" w:fill="DCE6F1"/>
          </w:tcPr>
          <w:p>
            <w:pPr>
              <w:keepNext/>
            </w:pPr>
            <w:r>
              <w:rPr>
                <w:b/>
                <w:sz w:val="16"/>
              </w:rPr>
              <w:t>Year</w:t>
            </w:r>
          </w:p>
        </w:tc>
        <w:tc>
          <w:tcPr>
            <w:tcW w:type="dxa" w:w="936"/>
            <w:shd w:val="clear" w:color="auto" w:fill="DCE6F1"/>
          </w:tcPr>
          <w:p>
            <w:pPr>
              <w:keepNext/>
            </w:pPr>
            <w:r>
              <w:rPr>
                <w:b/>
                <w:sz w:val="16"/>
              </w:rPr>
              <w:t>Data center peak MW</w:t>
            </w:r>
          </w:p>
        </w:tc>
        <w:tc>
          <w:tcPr>
            <w:tcW w:type="dxa" w:w="936"/>
            <w:shd w:val="clear" w:color="auto" w:fill="DCE6F1"/>
          </w:tcPr>
          <w:p>
            <w:pPr>
              <w:keepNext/>
            </w:pPr>
            <w:r>
              <w:rPr>
                <w:b/>
                <w:sz w:val="16"/>
              </w:rPr>
              <w:t>Total peak MW</w:t>
            </w:r>
          </w:p>
        </w:tc>
        <w:tc>
          <w:tcPr>
            <w:tcW w:type="dxa" w:w="936"/>
            <w:shd w:val="clear" w:color="auto" w:fill="DCE6F1"/>
          </w:tcPr>
          <w:p>
            <w:pPr>
              <w:keepNext/>
            </w:pPr>
            <w:r>
              <w:rPr>
                <w:b/>
                <w:sz w:val="16"/>
              </w:rPr>
              <w:t>Cum. capital $B</w:t>
            </w:r>
          </w:p>
        </w:tc>
        <w:tc>
          <w:tcPr>
            <w:tcW w:type="dxa" w:w="936"/>
            <w:shd w:val="clear" w:color="auto" w:fill="DCE6F1"/>
          </w:tcPr>
          <w:p>
            <w:pPr>
              <w:keepNext/>
            </w:pPr>
            <w:r>
              <w:rPr>
                <w:b/>
                <w:sz w:val="16"/>
              </w:rPr>
              <w:t>Rate base $B</w:t>
            </w:r>
          </w:p>
        </w:tc>
        <w:tc>
          <w:tcPr>
            <w:tcW w:type="dxa" w:w="936"/>
            <w:shd w:val="clear" w:color="auto" w:fill="DCE6F1"/>
          </w:tcPr>
          <w:p>
            <w:pPr>
              <w:keepNext/>
            </w:pPr>
            <w:r>
              <w:rPr>
                <w:b/>
                <w:sz w:val="16"/>
              </w:rPr>
              <w:t>Counterfactual rate ¢/kWh</w:t>
            </w:r>
          </w:p>
        </w:tc>
        <w:tc>
          <w:tcPr>
            <w:tcW w:type="dxa" w:w="936"/>
            <w:shd w:val="clear" w:color="auto" w:fill="DCE6F1"/>
          </w:tcPr>
          <w:p>
            <w:pPr>
              <w:keepNext/>
            </w:pPr>
            <w:r>
              <w:rPr>
                <w:b/>
                <w:sz w:val="16"/>
              </w:rPr>
              <w:t>Scenario rate ¢/kWh</w:t>
            </w:r>
          </w:p>
        </w:tc>
        <w:tc>
          <w:tcPr>
            <w:tcW w:type="dxa" w:w="936"/>
            <w:shd w:val="clear" w:color="auto" w:fill="DCE6F1"/>
          </w:tcPr>
          <w:p>
            <w:pPr>
              <w:keepNext/>
            </w:pPr>
            <w:r>
              <w:rPr>
                <w:b/>
                <w:sz w:val="16"/>
              </w:rPr>
              <w:t>Δ rate %</w:t>
            </w:r>
          </w:p>
        </w:tc>
        <w:tc>
          <w:tcPr>
            <w:tcW w:type="dxa" w:w="936"/>
            <w:shd w:val="clear" w:color="auto" w:fill="DCE6F1"/>
          </w:tcPr>
          <w:p>
            <w:pPr>
              <w:keepNext/>
            </w:pPr>
            <w:r>
              <w:rPr>
                <w:b/>
                <w:sz w:val="16"/>
              </w:rPr>
              <w:t>Δ net income $M</w:t>
            </w:r>
          </w:p>
        </w:tc>
      </w:tr>
      <w:tr>
        <w:trPr>
          <w:cantSplit w:val="true"/>
        </w:trPr>
        <w:tc>
          <w:tcPr>
            <w:tcW w:type="dxa" w:w="936"/>
          </w:tcPr>
          <w:p>
            <w:pPr>
              <w:keepNext/>
            </w:pPr>
            <w:r>
              <w:rPr>
                <w:sz w:val="16"/>
              </w:rPr>
              <w:t>Low</w:t>
            </w:r>
          </w:p>
        </w:tc>
        <w:tc>
          <w:tcPr>
            <w:tcW w:type="dxa" w:w="936"/>
          </w:tcPr>
          <w:p>
            <w:pPr>
              <w:keepNext/>
            </w:pPr>
            <w:r>
              <w:rPr>
                <w:sz w:val="16"/>
              </w:rPr>
              <w:t>2030</w:t>
            </w:r>
          </w:p>
        </w:tc>
        <w:tc>
          <w:tcPr>
            <w:tcW w:type="dxa" w:w="936"/>
          </w:tcPr>
          <w:p>
            <w:pPr>
              <w:keepNext/>
            </w:pPr>
            <w:r>
              <w:rPr>
                <w:sz w:val="16"/>
              </w:rPr>
              <w:t>5,118</w:t>
            </w:r>
          </w:p>
        </w:tc>
        <w:tc>
          <w:tcPr>
            <w:tcW w:type="dxa" w:w="936"/>
          </w:tcPr>
          <w:p>
            <w:pPr>
              <w:keepNext/>
            </w:pPr>
            <w:r>
              <w:rPr>
                <w:sz w:val="16"/>
              </w:rPr>
              <w:t>29,085</w:t>
            </w:r>
          </w:p>
        </w:tc>
        <w:tc>
          <w:tcPr>
            <w:tcW w:type="dxa" w:w="936"/>
          </w:tcPr>
          <w:p>
            <w:pPr>
              <w:keepNext/>
            </w:pPr>
            <w:r>
              <w:rPr>
                <w:sz w:val="16"/>
              </w:rPr>
              <w:t>31.3</w:t>
            </w:r>
          </w:p>
        </w:tc>
        <w:tc>
          <w:tcPr>
            <w:tcW w:type="dxa" w:w="936"/>
          </w:tcPr>
          <w:p>
            <w:pPr>
              <w:keepNext/>
            </w:pPr>
            <w:r>
              <w:rPr>
                <w:sz w:val="16"/>
              </w:rPr>
              <w:t>27.5</w:t>
            </w:r>
          </w:p>
        </w:tc>
        <w:tc>
          <w:tcPr>
            <w:tcW w:type="dxa" w:w="936"/>
          </w:tcPr>
          <w:p>
            <w:pPr>
              <w:keepNext/>
            </w:pPr>
            <w:r>
              <w:rPr>
                <w:sz w:val="16"/>
              </w:rPr>
              <w:t>12.32</w:t>
            </w:r>
          </w:p>
        </w:tc>
        <w:tc>
          <w:tcPr>
            <w:tcW w:type="dxa" w:w="936"/>
          </w:tcPr>
          <w:p>
            <w:pPr>
              <w:keepNext/>
            </w:pPr>
            <w:r>
              <w:rPr>
                <w:sz w:val="16"/>
              </w:rPr>
              <w:t>13.30</w:t>
            </w:r>
          </w:p>
        </w:tc>
        <w:tc>
          <w:tcPr>
            <w:tcW w:type="dxa" w:w="936"/>
          </w:tcPr>
          <w:p>
            <w:pPr>
              <w:keepNext/>
            </w:pPr>
            <w:r>
              <w:rPr>
                <w:sz w:val="16"/>
              </w:rPr>
              <w:t>+8.0</w:t>
            </w:r>
          </w:p>
        </w:tc>
        <w:tc>
          <w:tcPr>
            <w:tcW w:type="dxa" w:w="936"/>
          </w:tcPr>
          <w:p>
            <w:pPr>
              <w:keepNext/>
            </w:pPr>
            <w:r>
              <w:rPr>
                <w:sz w:val="16"/>
              </w:rPr>
              <w:t>1,404</w:t>
            </w:r>
          </w:p>
        </w:tc>
      </w:tr>
      <w:tr>
        <w:trPr>
          <w:cantSplit w:val="true"/>
        </w:trPr>
        <w:tc>
          <w:tcPr>
            <w:tcW w:type="dxa" w:w="936"/>
          </w:tcPr>
          <w:p>
            <w:pPr>
              <w:keepNext/>
            </w:pPr>
            <w:r>
              <w:rPr>
                <w:sz w:val="16"/>
              </w:rPr>
              <w:t>Low</w:t>
            </w:r>
          </w:p>
        </w:tc>
        <w:tc>
          <w:tcPr>
            <w:tcW w:type="dxa" w:w="936"/>
          </w:tcPr>
          <w:p>
            <w:pPr>
              <w:keepNext/>
            </w:pPr>
            <w:r>
              <w:rPr>
                <w:sz w:val="16"/>
              </w:rPr>
              <w:t>2035</w:t>
            </w:r>
          </w:p>
        </w:tc>
        <w:tc>
          <w:tcPr>
            <w:tcW w:type="dxa" w:w="936"/>
          </w:tcPr>
          <w:p>
            <w:pPr>
              <w:keepNext/>
            </w:pPr>
            <w:r>
              <w:rPr>
                <w:sz w:val="16"/>
              </w:rPr>
              <w:t>9,234</w:t>
            </w:r>
          </w:p>
        </w:tc>
        <w:tc>
          <w:tcPr>
            <w:tcW w:type="dxa" w:w="936"/>
          </w:tcPr>
          <w:p>
            <w:pPr>
              <w:keepNext/>
            </w:pPr>
            <w:r>
              <w:rPr>
                <w:sz w:val="16"/>
              </w:rPr>
              <w:t>33,121</w:t>
            </w:r>
          </w:p>
        </w:tc>
        <w:tc>
          <w:tcPr>
            <w:tcW w:type="dxa" w:w="936"/>
          </w:tcPr>
          <w:p>
            <w:pPr>
              <w:keepNext/>
            </w:pPr>
            <w:r>
              <w:rPr>
                <w:sz w:val="16"/>
              </w:rPr>
              <w:t>58.6</w:t>
            </w:r>
          </w:p>
        </w:tc>
        <w:tc>
          <w:tcPr>
            <w:tcW w:type="dxa" w:w="936"/>
          </w:tcPr>
          <w:p>
            <w:pPr>
              <w:keepNext/>
            </w:pPr>
            <w:r>
              <w:rPr>
                <w:sz w:val="16"/>
              </w:rPr>
              <w:t>45.3</w:t>
            </w:r>
          </w:p>
        </w:tc>
        <w:tc>
          <w:tcPr>
            <w:tcW w:type="dxa" w:w="936"/>
          </w:tcPr>
          <w:p>
            <w:pPr>
              <w:keepNext/>
            </w:pPr>
            <w:r>
              <w:rPr>
                <w:sz w:val="16"/>
              </w:rPr>
              <w:t>13.93</w:t>
            </w:r>
          </w:p>
        </w:tc>
        <w:tc>
          <w:tcPr>
            <w:tcW w:type="dxa" w:w="936"/>
          </w:tcPr>
          <w:p>
            <w:pPr>
              <w:keepNext/>
            </w:pPr>
            <w:r>
              <w:rPr>
                <w:sz w:val="16"/>
              </w:rPr>
              <w:t>15.06</w:t>
            </w:r>
          </w:p>
        </w:tc>
        <w:tc>
          <w:tcPr>
            <w:tcW w:type="dxa" w:w="936"/>
          </w:tcPr>
          <w:p>
            <w:pPr>
              <w:keepNext/>
            </w:pPr>
            <w:r>
              <w:rPr>
                <w:sz w:val="16"/>
              </w:rPr>
              <w:t>+8.1</w:t>
            </w:r>
          </w:p>
        </w:tc>
        <w:tc>
          <w:tcPr>
            <w:tcW w:type="dxa" w:w="936"/>
          </w:tcPr>
          <w:p>
            <w:pPr>
              <w:keepNext/>
            </w:pPr>
            <w:r>
              <w:rPr>
                <w:sz w:val="16"/>
              </w:rPr>
              <w:t>2,311</w:t>
            </w:r>
          </w:p>
        </w:tc>
      </w:tr>
      <w:tr>
        <w:trPr>
          <w:cantSplit w:val="true"/>
        </w:trPr>
        <w:tc>
          <w:tcPr>
            <w:tcW w:type="dxa" w:w="936"/>
          </w:tcPr>
          <w:p>
            <w:pPr>
              <w:keepNext/>
            </w:pPr>
            <w:r>
              <w:rPr>
                <w:sz w:val="16"/>
              </w:rPr>
              <w:t>Base</w:t>
            </w:r>
          </w:p>
        </w:tc>
        <w:tc>
          <w:tcPr>
            <w:tcW w:type="dxa" w:w="936"/>
          </w:tcPr>
          <w:p>
            <w:pPr>
              <w:keepNext/>
            </w:pPr>
            <w:r>
              <w:rPr>
                <w:sz w:val="16"/>
              </w:rPr>
              <w:t>2030</w:t>
            </w:r>
          </w:p>
        </w:tc>
        <w:tc>
          <w:tcPr>
            <w:tcW w:type="dxa" w:w="936"/>
          </w:tcPr>
          <w:p>
            <w:pPr>
              <w:keepNext/>
            </w:pPr>
            <w:r>
              <w:rPr>
                <w:sz w:val="16"/>
              </w:rPr>
              <w:t>7,068</w:t>
            </w:r>
          </w:p>
        </w:tc>
        <w:tc>
          <w:tcPr>
            <w:tcW w:type="dxa" w:w="936"/>
          </w:tcPr>
          <w:p>
            <w:pPr>
              <w:keepNext/>
            </w:pPr>
            <w:r>
              <w:rPr>
                <w:sz w:val="16"/>
              </w:rPr>
              <w:t>31,035</w:t>
            </w:r>
          </w:p>
        </w:tc>
        <w:tc>
          <w:tcPr>
            <w:tcW w:type="dxa" w:w="936"/>
          </w:tcPr>
          <w:p>
            <w:pPr>
              <w:keepNext/>
            </w:pPr>
            <w:r>
              <w:rPr>
                <w:sz w:val="16"/>
              </w:rPr>
              <w:t>43.1</w:t>
            </w:r>
          </w:p>
        </w:tc>
        <w:tc>
          <w:tcPr>
            <w:tcW w:type="dxa" w:w="936"/>
          </w:tcPr>
          <w:p>
            <w:pPr>
              <w:keepNext/>
            </w:pPr>
            <w:r>
              <w:rPr>
                <w:sz w:val="16"/>
              </w:rPr>
              <w:t>37.8</w:t>
            </w:r>
          </w:p>
        </w:tc>
        <w:tc>
          <w:tcPr>
            <w:tcW w:type="dxa" w:w="936"/>
          </w:tcPr>
          <w:p>
            <w:pPr>
              <w:keepNext/>
            </w:pPr>
            <w:r>
              <w:rPr>
                <w:sz w:val="16"/>
              </w:rPr>
              <w:t>12.32</w:t>
            </w:r>
          </w:p>
        </w:tc>
        <w:tc>
          <w:tcPr>
            <w:tcW w:type="dxa" w:w="936"/>
          </w:tcPr>
          <w:p>
            <w:pPr>
              <w:keepNext/>
            </w:pPr>
            <w:r>
              <w:rPr>
                <w:sz w:val="16"/>
              </w:rPr>
              <w:t>13.56</w:t>
            </w:r>
          </w:p>
        </w:tc>
        <w:tc>
          <w:tcPr>
            <w:tcW w:type="dxa" w:w="936"/>
          </w:tcPr>
          <w:p>
            <w:pPr>
              <w:keepNext/>
            </w:pPr>
            <w:r>
              <w:rPr>
                <w:sz w:val="16"/>
              </w:rPr>
              <w:t>+10.1</w:t>
            </w:r>
          </w:p>
        </w:tc>
        <w:tc>
          <w:tcPr>
            <w:tcW w:type="dxa" w:w="936"/>
          </w:tcPr>
          <w:p>
            <w:pPr>
              <w:keepNext/>
            </w:pPr>
            <w:r>
              <w:rPr>
                <w:sz w:val="16"/>
              </w:rPr>
              <w:t>1,927</w:t>
            </w:r>
          </w:p>
        </w:tc>
      </w:tr>
      <w:tr>
        <w:trPr>
          <w:cantSplit w:val="true"/>
        </w:trPr>
        <w:tc>
          <w:tcPr>
            <w:tcW w:type="dxa" w:w="936"/>
          </w:tcPr>
          <w:p>
            <w:pPr>
              <w:keepNext/>
            </w:pPr>
            <w:r>
              <w:rPr>
                <w:sz w:val="16"/>
              </w:rPr>
              <w:t>Base</w:t>
            </w:r>
          </w:p>
        </w:tc>
        <w:tc>
          <w:tcPr>
            <w:tcW w:type="dxa" w:w="936"/>
          </w:tcPr>
          <w:p>
            <w:pPr>
              <w:keepNext/>
            </w:pPr>
            <w:r>
              <w:rPr>
                <w:sz w:val="16"/>
              </w:rPr>
              <w:t>2035</w:t>
            </w:r>
          </w:p>
        </w:tc>
        <w:tc>
          <w:tcPr>
            <w:tcW w:type="dxa" w:w="936"/>
          </w:tcPr>
          <w:p>
            <w:pPr>
              <w:keepNext/>
            </w:pPr>
            <w:r>
              <w:rPr>
                <w:sz w:val="16"/>
              </w:rPr>
              <w:t>13,126</w:t>
            </w:r>
          </w:p>
        </w:tc>
        <w:tc>
          <w:tcPr>
            <w:tcW w:type="dxa" w:w="936"/>
          </w:tcPr>
          <w:p>
            <w:pPr>
              <w:keepNext/>
            </w:pPr>
            <w:r>
              <w:rPr>
                <w:sz w:val="16"/>
              </w:rPr>
              <w:t>37,013</w:t>
            </w:r>
          </w:p>
        </w:tc>
        <w:tc>
          <w:tcPr>
            <w:tcW w:type="dxa" w:w="936"/>
          </w:tcPr>
          <w:p>
            <w:pPr>
              <w:keepNext/>
            </w:pPr>
            <w:r>
              <w:rPr>
                <w:sz w:val="16"/>
              </w:rPr>
              <w:t>83.4</w:t>
            </w:r>
          </w:p>
        </w:tc>
        <w:tc>
          <w:tcPr>
            <w:tcW w:type="dxa" w:w="936"/>
          </w:tcPr>
          <w:p>
            <w:pPr>
              <w:keepNext/>
            </w:pPr>
            <w:r>
              <w:rPr>
                <w:sz w:val="16"/>
              </w:rPr>
              <w:t>64.7</w:t>
            </w:r>
          </w:p>
        </w:tc>
        <w:tc>
          <w:tcPr>
            <w:tcW w:type="dxa" w:w="936"/>
          </w:tcPr>
          <w:p>
            <w:pPr>
              <w:keepNext/>
            </w:pPr>
            <w:r>
              <w:rPr>
                <w:sz w:val="16"/>
              </w:rPr>
              <w:t>13.93</w:t>
            </w:r>
          </w:p>
        </w:tc>
        <w:tc>
          <w:tcPr>
            <w:tcW w:type="dxa" w:w="936"/>
          </w:tcPr>
          <w:p>
            <w:pPr>
              <w:keepNext/>
            </w:pPr>
            <w:r>
              <w:rPr>
                <w:sz w:val="16"/>
              </w:rPr>
              <w:t>15.35</w:t>
            </w:r>
          </w:p>
        </w:tc>
        <w:tc>
          <w:tcPr>
            <w:tcW w:type="dxa" w:w="936"/>
          </w:tcPr>
          <w:p>
            <w:pPr>
              <w:keepNext/>
            </w:pPr>
            <w:r>
              <w:rPr>
                <w:sz w:val="16"/>
              </w:rPr>
              <w:t>+10.1</w:t>
            </w:r>
          </w:p>
        </w:tc>
        <w:tc>
          <w:tcPr>
            <w:tcW w:type="dxa" w:w="936"/>
          </w:tcPr>
          <w:p>
            <w:pPr>
              <w:keepNext/>
            </w:pPr>
            <w:r>
              <w:rPr>
                <w:sz w:val="16"/>
              </w:rPr>
              <w:t>3,297</w:t>
            </w:r>
          </w:p>
        </w:tc>
      </w:tr>
      <w:tr>
        <w:trPr>
          <w:cantSplit w:val="true"/>
        </w:trPr>
        <w:tc>
          <w:tcPr>
            <w:tcW w:type="dxa" w:w="936"/>
          </w:tcPr>
          <w:p>
            <w:pPr>
              <w:keepNext/>
            </w:pPr>
            <w:r>
              <w:rPr>
                <w:sz w:val="16"/>
              </w:rPr>
              <w:t>High</w:t>
            </w:r>
          </w:p>
        </w:tc>
        <w:tc>
          <w:tcPr>
            <w:tcW w:type="dxa" w:w="936"/>
          </w:tcPr>
          <w:p>
            <w:pPr>
              <w:keepNext/>
            </w:pPr>
            <w:r>
              <w:rPr>
                <w:sz w:val="16"/>
              </w:rPr>
              <w:t>2030</w:t>
            </w:r>
          </w:p>
        </w:tc>
        <w:tc>
          <w:tcPr>
            <w:tcW w:type="dxa" w:w="936"/>
          </w:tcPr>
          <w:p>
            <w:pPr>
              <w:keepNext/>
            </w:pPr>
            <w:r>
              <w:rPr>
                <w:sz w:val="16"/>
              </w:rPr>
              <w:t>9,456</w:t>
            </w:r>
          </w:p>
        </w:tc>
        <w:tc>
          <w:tcPr>
            <w:tcW w:type="dxa" w:w="936"/>
          </w:tcPr>
          <w:p>
            <w:pPr>
              <w:keepNext/>
            </w:pPr>
            <w:r>
              <w:rPr>
                <w:sz w:val="16"/>
              </w:rPr>
              <w:t>33,424</w:t>
            </w:r>
          </w:p>
        </w:tc>
        <w:tc>
          <w:tcPr>
            <w:tcW w:type="dxa" w:w="936"/>
          </w:tcPr>
          <w:p>
            <w:pPr>
              <w:keepNext/>
            </w:pPr>
            <w:r>
              <w:rPr>
                <w:sz w:val="16"/>
              </w:rPr>
              <w:t>57.4</w:t>
            </w:r>
          </w:p>
        </w:tc>
        <w:tc>
          <w:tcPr>
            <w:tcW w:type="dxa" w:w="936"/>
          </w:tcPr>
          <w:p>
            <w:pPr>
              <w:keepNext/>
            </w:pPr>
            <w:r>
              <w:rPr>
                <w:sz w:val="16"/>
              </w:rPr>
              <w:t>50.2</w:t>
            </w:r>
          </w:p>
        </w:tc>
        <w:tc>
          <w:tcPr>
            <w:tcW w:type="dxa" w:w="936"/>
          </w:tcPr>
          <w:p>
            <w:pPr>
              <w:keepNext/>
            </w:pPr>
            <w:r>
              <w:rPr>
                <w:sz w:val="16"/>
              </w:rPr>
              <w:t>12.32</w:t>
            </w:r>
          </w:p>
        </w:tc>
        <w:tc>
          <w:tcPr>
            <w:tcW w:type="dxa" w:w="936"/>
          </w:tcPr>
          <w:p>
            <w:pPr>
              <w:keepNext/>
            </w:pPr>
            <w:r>
              <w:rPr>
                <w:sz w:val="16"/>
              </w:rPr>
              <w:t>13.82</w:t>
            </w:r>
          </w:p>
        </w:tc>
        <w:tc>
          <w:tcPr>
            <w:tcW w:type="dxa" w:w="936"/>
          </w:tcPr>
          <w:p>
            <w:pPr>
              <w:keepNext/>
            </w:pPr>
            <w:r>
              <w:rPr>
                <w:sz w:val="16"/>
              </w:rPr>
              <w:t>+12.2</w:t>
            </w:r>
          </w:p>
        </w:tc>
        <w:tc>
          <w:tcPr>
            <w:tcW w:type="dxa" w:w="936"/>
          </w:tcPr>
          <w:p>
            <w:pPr>
              <w:keepNext/>
            </w:pPr>
            <w:r>
              <w:rPr>
                <w:sz w:val="16"/>
              </w:rPr>
              <w:t>2,558</w:t>
            </w:r>
          </w:p>
        </w:tc>
      </w:tr>
      <w:tr>
        <w:trPr>
          <w:cantSplit w:val="true"/>
        </w:trPr>
        <w:tc>
          <w:tcPr>
            <w:tcW w:type="dxa" w:w="936"/>
          </w:tcPr>
          <w:p>
            <w:pPr>
              <w:keepNext/>
            </w:pPr>
            <w:r>
              <w:rPr>
                <w:sz w:val="16"/>
              </w:rPr>
              <w:t>High</w:t>
            </w:r>
          </w:p>
        </w:tc>
        <w:tc>
          <w:tcPr>
            <w:tcW w:type="dxa" w:w="936"/>
          </w:tcPr>
          <w:p>
            <w:pPr>
              <w:keepNext/>
            </w:pPr>
            <w:r>
              <w:rPr>
                <w:sz w:val="16"/>
              </w:rPr>
              <w:t>2035</w:t>
            </w:r>
          </w:p>
        </w:tc>
        <w:tc>
          <w:tcPr>
            <w:tcW w:type="dxa" w:w="936"/>
          </w:tcPr>
          <w:p>
            <w:pPr>
              <w:keepNext/>
            </w:pPr>
            <w:r>
              <w:rPr>
                <w:sz w:val="16"/>
              </w:rPr>
              <w:t>17,753</w:t>
            </w:r>
          </w:p>
        </w:tc>
        <w:tc>
          <w:tcPr>
            <w:tcW w:type="dxa" w:w="936"/>
          </w:tcPr>
          <w:p>
            <w:pPr>
              <w:keepNext/>
            </w:pPr>
            <w:r>
              <w:rPr>
                <w:sz w:val="16"/>
              </w:rPr>
              <w:t>41,640</w:t>
            </w:r>
          </w:p>
        </w:tc>
        <w:tc>
          <w:tcPr>
            <w:tcW w:type="dxa" w:w="936"/>
          </w:tcPr>
          <w:p>
            <w:pPr>
              <w:keepNext/>
            </w:pPr>
            <w:r>
              <w:rPr>
                <w:sz w:val="16"/>
              </w:rPr>
              <w:t>112.8</w:t>
            </w:r>
          </w:p>
        </w:tc>
        <w:tc>
          <w:tcPr>
            <w:tcW w:type="dxa" w:w="936"/>
          </w:tcPr>
          <w:p>
            <w:pPr>
              <w:keepNext/>
            </w:pPr>
            <w:r>
              <w:rPr>
                <w:sz w:val="16"/>
              </w:rPr>
              <w:t>87.5</w:t>
            </w:r>
          </w:p>
        </w:tc>
        <w:tc>
          <w:tcPr>
            <w:tcW w:type="dxa" w:w="936"/>
          </w:tcPr>
          <w:p>
            <w:pPr>
              <w:keepNext/>
            </w:pPr>
            <w:r>
              <w:rPr>
                <w:sz w:val="16"/>
              </w:rPr>
              <w:t>13.93</w:t>
            </w:r>
          </w:p>
        </w:tc>
        <w:tc>
          <w:tcPr>
            <w:tcW w:type="dxa" w:w="936"/>
          </w:tcPr>
          <w:p>
            <w:pPr>
              <w:keepNext/>
            </w:pPr>
            <w:r>
              <w:rPr>
                <w:sz w:val="16"/>
              </w:rPr>
              <w:t>15.60</w:t>
            </w:r>
          </w:p>
        </w:tc>
        <w:tc>
          <w:tcPr>
            <w:tcW w:type="dxa" w:w="936"/>
          </w:tcPr>
          <w:p>
            <w:pPr>
              <w:keepNext/>
            </w:pPr>
            <w:r>
              <w:rPr>
                <w:sz w:val="16"/>
              </w:rPr>
              <w:t>+12.0</w:t>
            </w:r>
          </w:p>
        </w:tc>
        <w:tc>
          <w:tcPr>
            <w:tcW w:type="dxa" w:w="936"/>
          </w:tcPr>
          <w:p>
            <w:pPr>
              <w:keepNext/>
            </w:pPr>
            <w:r>
              <w:rPr>
                <w:sz w:val="16"/>
              </w:rPr>
              <w:t>4,461</w:t>
            </w:r>
          </w:p>
        </w:tc>
      </w:tr>
      <w:tr>
        <w:trPr>
          <w:cantSplit w:val="true"/>
        </w:trPr>
        <w:tc>
          <w:tcPr>
            <w:tcW w:type="dxa" w:w="936"/>
          </w:tcPr>
          <w:p>
            <w:pPr>
              <w:keepNext/>
            </w:pPr>
            <w:r>
              <w:rPr>
                <w:sz w:val="16"/>
              </w:rPr>
              <w:t>Monte Carlo median</w:t>
            </w:r>
          </w:p>
        </w:tc>
        <w:tc>
          <w:tcPr>
            <w:tcW w:type="dxa" w:w="936"/>
          </w:tcPr>
          <w:p>
            <w:pPr>
              <w:keepNext/>
            </w:pPr>
            <w:r>
              <w:rPr>
                <w:sz w:val="16"/>
              </w:rPr>
              <w:t>2030</w:t>
            </w:r>
          </w:p>
        </w:tc>
        <w:tc>
          <w:tcPr>
            <w:tcW w:type="dxa" w:w="936"/>
          </w:tcPr>
          <w:p>
            <w:pPr>
              <w:keepNext/>
            </w:pPr>
            <w:r>
              <w:rPr>
                <w:sz w:val="16"/>
              </w:rPr>
              <w:t>6,623</w:t>
            </w:r>
          </w:p>
        </w:tc>
        <w:tc>
          <w:tcPr>
            <w:tcW w:type="dxa" w:w="936"/>
          </w:tcPr>
          <w:p>
            <w:pPr>
              <w:keepNext/>
            </w:pPr>
            <w:r>
              <w:rPr>
                <w:sz w:val="16"/>
              </w:rPr>
              <w:t>30,591</w:t>
            </w:r>
          </w:p>
        </w:tc>
        <w:tc>
          <w:tcPr>
            <w:tcW w:type="dxa" w:w="936"/>
          </w:tcPr>
          <w:p>
            <w:pPr>
              <w:keepNext/>
            </w:pPr>
            <w:r>
              <w:rPr>
                <w:sz w:val="16"/>
              </w:rPr>
              <w:t>40.3</w:t>
            </w:r>
          </w:p>
        </w:tc>
        <w:tc>
          <w:tcPr>
            <w:tcW w:type="dxa" w:w="936"/>
          </w:tcPr>
          <w:p>
            <w:pPr>
              <w:keepNext/>
            </w:pPr>
            <w:r>
              <w:rPr>
                <w:sz w:val="16"/>
              </w:rPr>
              <w:t>35.3</w:t>
            </w:r>
          </w:p>
        </w:tc>
        <w:tc>
          <w:tcPr>
            <w:tcW w:type="dxa" w:w="936"/>
          </w:tcPr>
          <w:p>
            <w:pPr>
              <w:keepNext/>
            </w:pPr>
            <w:r>
              <w:rPr>
                <w:sz w:val="16"/>
              </w:rPr>
              <w:t>12.32</w:t>
            </w:r>
          </w:p>
        </w:tc>
        <w:tc>
          <w:tcPr>
            <w:tcW w:type="dxa" w:w="936"/>
          </w:tcPr>
          <w:p>
            <w:pPr>
              <w:keepNext/>
            </w:pPr>
            <w:r>
              <w:rPr>
                <w:sz w:val="16"/>
              </w:rPr>
              <w:t>13.49</w:t>
            </w:r>
          </w:p>
        </w:tc>
        <w:tc>
          <w:tcPr>
            <w:tcW w:type="dxa" w:w="936"/>
          </w:tcPr>
          <w:p>
            <w:pPr>
              <w:keepNext/>
            </w:pPr>
            <w:r>
              <w:rPr>
                <w:sz w:val="16"/>
              </w:rPr>
              <w:t>+9.6</w:t>
            </w:r>
          </w:p>
        </w:tc>
        <w:tc>
          <w:tcPr>
            <w:tcW w:type="dxa" w:w="936"/>
          </w:tcPr>
          <w:p>
            <w:pPr>
              <w:keepNext/>
            </w:pPr>
            <w:r>
              <w:rPr>
                <w:sz w:val="16"/>
              </w:rPr>
              <w:t>1,800</w:t>
            </w:r>
          </w:p>
        </w:tc>
      </w:tr>
      <w:tr>
        <w:trPr>
          <w:cantSplit w:val="true"/>
        </w:trPr>
        <w:tc>
          <w:tcPr>
            <w:tcW w:type="dxa" w:w="936"/>
          </w:tcPr>
          <w:p>
            <w:r>
              <w:rPr>
                <w:sz w:val="16"/>
              </w:rPr>
              <w:t>Monte Carlo median</w:t>
            </w:r>
          </w:p>
        </w:tc>
        <w:tc>
          <w:tcPr>
            <w:tcW w:type="dxa" w:w="936"/>
          </w:tcPr>
          <w:p>
            <w:r>
              <w:rPr>
                <w:sz w:val="16"/>
              </w:rPr>
              <w:t>2035</w:t>
            </w:r>
          </w:p>
        </w:tc>
        <w:tc>
          <w:tcPr>
            <w:tcW w:type="dxa" w:w="936"/>
          </w:tcPr>
          <w:p>
            <w:r>
              <w:rPr>
                <w:sz w:val="16"/>
              </w:rPr>
              <w:t>12,957</w:t>
            </w:r>
          </w:p>
        </w:tc>
        <w:tc>
          <w:tcPr>
            <w:tcW w:type="dxa" w:w="936"/>
          </w:tcPr>
          <w:p>
            <w:r>
              <w:rPr>
                <w:sz w:val="16"/>
              </w:rPr>
              <w:t>36,844</w:t>
            </w:r>
          </w:p>
        </w:tc>
        <w:tc>
          <w:tcPr>
            <w:tcW w:type="dxa" w:w="936"/>
          </w:tcPr>
          <w:p>
            <w:r>
              <w:rPr>
                <w:sz w:val="16"/>
              </w:rPr>
              <w:t>82.6</w:t>
            </w:r>
          </w:p>
        </w:tc>
        <w:tc>
          <w:tcPr>
            <w:tcW w:type="dxa" w:w="936"/>
          </w:tcPr>
          <w:p>
            <w:r>
              <w:rPr>
                <w:sz w:val="16"/>
              </w:rPr>
              <w:t>64.5</w:t>
            </w:r>
          </w:p>
        </w:tc>
        <w:tc>
          <w:tcPr>
            <w:tcW w:type="dxa" w:w="936"/>
          </w:tcPr>
          <w:p>
            <w:r>
              <w:rPr>
                <w:sz w:val="16"/>
              </w:rPr>
              <w:t>13.93</w:t>
            </w:r>
          </w:p>
        </w:tc>
        <w:tc>
          <w:tcPr>
            <w:tcW w:type="dxa" w:w="936"/>
          </w:tcPr>
          <w:p>
            <w:r>
              <w:rPr>
                <w:sz w:val="16"/>
              </w:rPr>
              <w:t>15.37</w:t>
            </w:r>
          </w:p>
        </w:tc>
        <w:tc>
          <w:tcPr>
            <w:tcW w:type="dxa" w:w="936"/>
          </w:tcPr>
          <w:p>
            <w:r>
              <w:rPr>
                <w:sz w:val="16"/>
              </w:rPr>
              <w:t>+10.3</w:t>
            </w:r>
          </w:p>
        </w:tc>
        <w:tc>
          <w:tcPr>
            <w:tcW w:type="dxa" w:w="936"/>
          </w:tcPr>
          <w:p>
            <w:r>
              <w:rPr>
                <w:sz w:val="16"/>
              </w:rPr>
              <w:t>3,289</w:t>
            </w:r>
          </w:p>
        </w:tc>
      </w:tr>
    </w:tbl>
    <w:p/>
    <w:p>
      <w:pPr>
        <w:jc w:val="center"/>
      </w:pPr>
      <w:r>
        <w:drawing>
          <wp:inline xmlns:a="http://schemas.openxmlformats.org/drawingml/2006/main" xmlns:pic="http://schemas.openxmlformats.org/drawingml/2006/picture">
            <wp:extent cx="5486400" cy="3086100"/>
            <wp:docPr id="8" name="Picture 8"/>
            <wp:cNvGraphicFramePr>
              <a:graphicFrameLocks noChangeAspect="1"/>
            </wp:cNvGraphicFramePr>
            <a:graphic>
              <a:graphicData uri="http://schemas.openxmlformats.org/drawingml/2006/picture">
                <pic:pic>
                  <pic:nvPicPr>
                    <pic:cNvPr id="0" name="rate_impact.png"/>
                    <pic:cNvPicPr/>
                  </pic:nvPicPr>
                  <pic:blipFill>
                    <a:blip r:embed="rId17"/>
                    <a:stretch>
                      <a:fillRect/>
                    </a:stretch>
                  </pic:blipFill>
                  <pic:spPr>
                    <a:xfrm>
                      <a:off x="0" y="0"/>
                      <a:ext cx="5486400" cy="3086100"/>
                    </a:xfrm>
                    <a:prstGeom prst="rect"/>
                  </pic:spPr>
                </pic:pic>
              </a:graphicData>
            </a:graphic>
          </wp:inline>
        </w:drawing>
      </w:r>
    </w:p>
    <w:p>
      <w:pPr>
        <w:jc w:val="center"/>
      </w:pPr>
      <w:r>
        <w:rPr>
          <w:b w:val="0"/>
          <w:i/>
          <w:sz w:val="18"/>
        </w:rPr>
        <w:t>Figure 8. System-average rate impact by scenario versus the no-new-data-center counterfactual, including stranded-load stress cases.</w:t>
      </w:r>
    </w:p>
    <w:p>
      <w:r>
        <w:rPr>
          <w:b w:val="0"/>
          <w:i w:val="0"/>
        </w:rPr>
        <w:t>In the Base case, 2035 average rates are +10.1% relative to the counterfactual. The increase indicates that the incremental capital and energy cost per kWh of new sales exceeds the current system-average cost. Rate base grows by $64.7B and shareholder net income by roughly $3,297M per year by 2035, illustrating the regulated utility's structural incentive to serve this load.</w:t>
      </w:r>
    </w:p>
    <w:p>
      <w:pPr>
        <w:jc w:val="center"/>
      </w:pPr>
      <w:r>
        <w:drawing>
          <wp:inline xmlns:a="http://schemas.openxmlformats.org/drawingml/2006/main" xmlns:pic="http://schemas.openxmlformats.org/drawingml/2006/picture">
            <wp:extent cx="5486400" cy="2880360"/>
            <wp:docPr id="9" name="Picture 9"/>
            <wp:cNvGraphicFramePr>
              <a:graphicFrameLocks noChangeAspect="1"/>
            </wp:cNvGraphicFramePr>
            <a:graphic>
              <a:graphicData uri="http://schemas.openxmlformats.org/drawingml/2006/picture">
                <pic:pic>
                  <pic:nvPicPr>
                    <pic:cNvPr id="0" name="earnings_impact.png"/>
                    <pic:cNvPicPr/>
                  </pic:nvPicPr>
                  <pic:blipFill>
                    <a:blip r:embed="rId18"/>
                    <a:stretch>
                      <a:fillRect/>
                    </a:stretch>
                  </pic:blipFill>
                  <pic:spPr>
                    <a:xfrm>
                      <a:off x="0" y="0"/>
                      <a:ext cx="5486400" cy="2880360"/>
                    </a:xfrm>
                    <a:prstGeom prst="rect"/>
                  </pic:spPr>
                </pic:pic>
              </a:graphicData>
            </a:graphic>
          </wp:inline>
        </w:drawing>
      </w:r>
    </w:p>
    <w:p>
      <w:pPr>
        <w:jc w:val="center"/>
      </w:pPr>
      <w:r>
        <w:rPr>
          <w:b w:val="0"/>
          <w:i/>
          <w:sz w:val="18"/>
        </w:rPr>
        <w:t>Figure 9. Incremental utility net income from data center-driven rate base.</w:t>
      </w:r>
    </w:p>
    <w:p>
      <w:pPr>
        <w:pStyle w:val="Heading1"/>
      </w:pPr>
      <w:r>
        <w:t>7. Scenario and Risk Analysis</w:t>
      </w:r>
    </w:p>
    <w:p>
      <w:pPr>
        <w:pStyle w:val="Heading2"/>
      </w:pPr>
      <w:r>
        <w:t>7.1 Sensitivities</w:t>
      </w:r>
    </w:p>
    <w:p>
      <w:pPr>
        <w:keepNext/>
      </w:pPr>
      <w:r>
        <w:rPr>
          <w:b w:val="0"/>
          <w:i/>
          <w:sz w:val="18"/>
        </w:rPr>
        <w:t>Table 12. One-at-a-time sensitivities ranked by swing (Base case = +10.1%)</w:t>
      </w:r>
    </w:p>
    <w:tbl>
      <w:tblPr>
        <w:tblStyle w:val="TableGrid"/>
        <w:tblW w:type="auto" w:w="0"/>
        <w:jc w:val="center"/>
        <w:tblLook w:firstColumn="1" w:firstRow="1" w:lastColumn="0" w:lastRow="0" w:noHBand="0" w:noVBand="1" w:val="04A0"/>
      </w:tblPr>
      <w:tblGrid>
        <w:gridCol w:w="2340"/>
        <w:gridCol w:w="2340"/>
        <w:gridCol w:w="2340"/>
        <w:gridCol w:w="2340"/>
      </w:tblGrid>
      <w:tr>
        <w:trPr>
          <w:cantSplit w:val="true"/>
          <w:tblHeader w:val="true"/>
        </w:trPr>
        <w:tc>
          <w:tcPr>
            <w:tcW w:type="dxa" w:w="2340"/>
            <w:shd w:val="clear" w:color="auto" w:fill="DCE6F1"/>
          </w:tcPr>
          <w:p>
            <w:pPr>
              <w:keepNext/>
            </w:pPr>
            <w:r>
              <w:rPr>
                <w:b/>
                <w:sz w:val="17"/>
              </w:rPr>
              <w:t>Driver (low / high input)</w:t>
            </w:r>
          </w:p>
        </w:tc>
        <w:tc>
          <w:tcPr>
            <w:tcW w:type="dxa" w:w="2340"/>
            <w:shd w:val="clear" w:color="auto" w:fill="DCE6F1"/>
          </w:tcPr>
          <w:p>
            <w:pPr>
              <w:keepNext/>
            </w:pPr>
            <w:r>
              <w:rPr>
                <w:b/>
                <w:sz w:val="17"/>
              </w:rPr>
              <w:t>2035 Δ rate % (low input)</w:t>
            </w:r>
          </w:p>
        </w:tc>
        <w:tc>
          <w:tcPr>
            <w:tcW w:type="dxa" w:w="2340"/>
            <w:shd w:val="clear" w:color="auto" w:fill="DCE6F1"/>
          </w:tcPr>
          <w:p>
            <w:pPr>
              <w:keepNext/>
            </w:pPr>
            <w:r>
              <w:rPr>
                <w:b/>
                <w:sz w:val="17"/>
              </w:rPr>
              <w:t>2035 Δ rate % (high input)</w:t>
            </w:r>
          </w:p>
        </w:tc>
        <w:tc>
          <w:tcPr>
            <w:tcW w:type="dxa" w:w="2340"/>
            <w:shd w:val="clear" w:color="auto" w:fill="DCE6F1"/>
          </w:tcPr>
          <w:p>
            <w:pPr>
              <w:keepNext/>
            </w:pPr>
            <w:r>
              <w:rPr>
                <w:b/>
                <w:sz w:val="17"/>
              </w:rPr>
              <w:t>Swing (pp)</w:t>
            </w:r>
          </w:p>
        </w:tc>
      </w:tr>
      <w:tr>
        <w:trPr>
          <w:cantSplit w:val="true"/>
        </w:trPr>
        <w:tc>
          <w:tcPr>
            <w:tcW w:type="dxa" w:w="2340"/>
          </w:tcPr>
          <w:p>
            <w:pPr>
              <w:keepNext/>
            </w:pPr>
            <w:r>
              <w:rPr>
                <w:sz w:val="17"/>
              </w:rPr>
              <w:t>DC load factor 0.50 / 0.90</w:t>
            </w:r>
          </w:p>
        </w:tc>
        <w:tc>
          <w:tcPr>
            <w:tcW w:type="dxa" w:w="2340"/>
          </w:tcPr>
          <w:p>
            <w:pPr>
              <w:keepNext/>
            </w:pPr>
            <w:r>
              <w:rPr>
                <w:sz w:val="17"/>
              </w:rPr>
              <w:t>+21.6</w:t>
            </w:r>
          </w:p>
        </w:tc>
        <w:tc>
          <w:tcPr>
            <w:tcW w:type="dxa" w:w="2340"/>
          </w:tcPr>
          <w:p>
            <w:pPr>
              <w:keepNext/>
            </w:pPr>
            <w:r>
              <w:rPr>
                <w:sz w:val="17"/>
              </w:rPr>
              <w:t>+7.1</w:t>
            </w:r>
          </w:p>
        </w:tc>
        <w:tc>
          <w:tcPr>
            <w:tcW w:type="dxa" w:w="2340"/>
          </w:tcPr>
          <w:p>
            <w:pPr>
              <w:keepNext/>
            </w:pPr>
            <w:r>
              <w:rPr>
                <w:sz w:val="17"/>
              </w:rPr>
              <w:t>14.5</w:t>
            </w:r>
          </w:p>
        </w:tc>
      </w:tr>
      <w:tr>
        <w:trPr>
          <w:cantSplit w:val="true"/>
        </w:trPr>
        <w:tc>
          <w:tcPr>
            <w:tcW w:type="dxa" w:w="2340"/>
          </w:tcPr>
          <w:p>
            <w:pPr>
              <w:keepNext/>
            </w:pPr>
            <w:r>
              <w:rPr>
                <w:sz w:val="17"/>
              </w:rPr>
              <w:t>Energy cost ±30%</w:t>
            </w:r>
          </w:p>
        </w:tc>
        <w:tc>
          <w:tcPr>
            <w:tcW w:type="dxa" w:w="2340"/>
          </w:tcPr>
          <w:p>
            <w:pPr>
              <w:keepNext/>
            </w:pPr>
            <w:r>
              <w:rPr>
                <w:sz w:val="17"/>
              </w:rPr>
              <w:t>+4.2</w:t>
            </w:r>
          </w:p>
        </w:tc>
        <w:tc>
          <w:tcPr>
            <w:tcW w:type="dxa" w:w="2340"/>
          </w:tcPr>
          <w:p>
            <w:pPr>
              <w:keepNext/>
            </w:pPr>
            <w:r>
              <w:rPr>
                <w:sz w:val="17"/>
              </w:rPr>
              <w:t>+16.1</w:t>
            </w:r>
          </w:p>
        </w:tc>
        <w:tc>
          <w:tcPr>
            <w:tcW w:type="dxa" w:w="2340"/>
          </w:tcPr>
          <w:p>
            <w:pPr>
              <w:keepNext/>
            </w:pPr>
            <w:r>
              <w:rPr>
                <w:sz w:val="17"/>
              </w:rPr>
              <w:t>11.9</w:t>
            </w:r>
          </w:p>
        </w:tc>
      </w:tr>
      <w:tr>
        <w:trPr>
          <w:cantSplit w:val="true"/>
        </w:trPr>
        <w:tc>
          <w:tcPr>
            <w:tcW w:type="dxa" w:w="2340"/>
          </w:tcPr>
          <w:p>
            <w:pPr>
              <w:keepNext/>
            </w:pPr>
            <w:r>
              <w:rPr>
                <w:sz w:val="17"/>
              </w:rPr>
              <w:t>Capital cost ±20%</w:t>
            </w:r>
          </w:p>
        </w:tc>
        <w:tc>
          <w:tcPr>
            <w:tcW w:type="dxa" w:w="2340"/>
          </w:tcPr>
          <w:p>
            <w:pPr>
              <w:keepNext/>
            </w:pPr>
            <w:r>
              <w:rPr>
                <w:sz w:val="17"/>
              </w:rPr>
              <w:t>+4.6</w:t>
            </w:r>
          </w:p>
        </w:tc>
        <w:tc>
          <w:tcPr>
            <w:tcW w:type="dxa" w:w="2340"/>
          </w:tcPr>
          <w:p>
            <w:pPr>
              <w:keepNext/>
            </w:pPr>
            <w:r>
              <w:rPr>
                <w:sz w:val="17"/>
              </w:rPr>
              <w:t>+15.7</w:t>
            </w:r>
          </w:p>
        </w:tc>
        <w:tc>
          <w:tcPr>
            <w:tcW w:type="dxa" w:w="2340"/>
          </w:tcPr>
          <w:p>
            <w:pPr>
              <w:keepNext/>
            </w:pPr>
            <w:r>
              <w:rPr>
                <w:sz w:val="17"/>
              </w:rPr>
              <w:t>11.1</w:t>
            </w:r>
          </w:p>
        </w:tc>
      </w:tr>
      <w:tr>
        <w:trPr>
          <w:cantSplit w:val="true"/>
        </w:trPr>
        <w:tc>
          <w:tcPr>
            <w:tcW w:type="dxa" w:w="2340"/>
          </w:tcPr>
          <w:p>
            <w:pPr>
              <w:keepNext/>
            </w:pPr>
            <w:r>
              <w:rPr>
                <w:sz w:val="17"/>
              </w:rPr>
              <w:t>Upfront customer share (CIAC) 0% / 25%</w:t>
            </w:r>
          </w:p>
        </w:tc>
        <w:tc>
          <w:tcPr>
            <w:tcW w:type="dxa" w:w="2340"/>
          </w:tcPr>
          <w:p>
            <w:pPr>
              <w:keepNext/>
            </w:pPr>
            <w:r>
              <w:rPr>
                <w:sz w:val="17"/>
              </w:rPr>
              <w:t>+11.6</w:t>
            </w:r>
          </w:p>
        </w:tc>
        <w:tc>
          <w:tcPr>
            <w:tcW w:type="dxa" w:w="2340"/>
          </w:tcPr>
          <w:p>
            <w:pPr>
              <w:keepNext/>
            </w:pPr>
            <w:r>
              <w:rPr>
                <w:sz w:val="17"/>
              </w:rPr>
              <w:t>+4.3</w:t>
            </w:r>
          </w:p>
        </w:tc>
        <w:tc>
          <w:tcPr>
            <w:tcW w:type="dxa" w:w="2340"/>
          </w:tcPr>
          <w:p>
            <w:pPr>
              <w:keepNext/>
            </w:pPr>
            <w:r>
              <w:rPr>
                <w:sz w:val="17"/>
              </w:rPr>
              <w:t>7.3</w:t>
            </w:r>
          </w:p>
        </w:tc>
      </w:tr>
      <w:tr>
        <w:trPr>
          <w:cantSplit w:val="true"/>
        </w:trPr>
        <w:tc>
          <w:tcPr>
            <w:tcW w:type="dxa" w:w="2340"/>
          </w:tcPr>
          <w:p>
            <w:pPr>
              <w:keepNext/>
            </w:pPr>
            <w:r>
              <w:rPr>
                <w:sz w:val="17"/>
              </w:rPr>
              <w:t>Data center build-out: Low / High scenario</w:t>
            </w:r>
          </w:p>
        </w:tc>
        <w:tc>
          <w:tcPr>
            <w:tcW w:type="dxa" w:w="2340"/>
          </w:tcPr>
          <w:p>
            <w:pPr>
              <w:keepNext/>
            </w:pPr>
            <w:r>
              <w:rPr>
                <w:sz w:val="17"/>
              </w:rPr>
              <w:t>+8.1</w:t>
            </w:r>
          </w:p>
        </w:tc>
        <w:tc>
          <w:tcPr>
            <w:tcW w:type="dxa" w:w="2340"/>
          </w:tcPr>
          <w:p>
            <w:pPr>
              <w:keepNext/>
            </w:pPr>
            <w:r>
              <w:rPr>
                <w:sz w:val="17"/>
              </w:rPr>
              <w:t>+12.0</w:t>
            </w:r>
          </w:p>
        </w:tc>
        <w:tc>
          <w:tcPr>
            <w:tcW w:type="dxa" w:w="2340"/>
          </w:tcPr>
          <w:p>
            <w:pPr>
              <w:keepNext/>
            </w:pPr>
            <w:r>
              <w:rPr>
                <w:sz w:val="17"/>
              </w:rPr>
              <w:t>3.9</w:t>
            </w:r>
          </w:p>
        </w:tc>
      </w:tr>
      <w:tr>
        <w:trPr>
          <w:cantSplit w:val="true"/>
        </w:trPr>
        <w:tc>
          <w:tcPr>
            <w:tcW w:type="dxa" w:w="2340"/>
          </w:tcPr>
          <w:p>
            <w:pPr>
              <w:keepNext/>
            </w:pPr>
            <w:r>
              <w:rPr>
                <w:sz w:val="17"/>
              </w:rPr>
              <w:t>Reserve requirement ±0.05</w:t>
            </w:r>
          </w:p>
        </w:tc>
        <w:tc>
          <w:tcPr>
            <w:tcW w:type="dxa" w:w="2340"/>
          </w:tcPr>
          <w:p>
            <w:pPr>
              <w:keepNext/>
            </w:pPr>
            <w:r>
              <w:rPr>
                <w:sz w:val="17"/>
              </w:rPr>
              <w:t>+8.5</w:t>
            </w:r>
          </w:p>
        </w:tc>
        <w:tc>
          <w:tcPr>
            <w:tcW w:type="dxa" w:w="2340"/>
          </w:tcPr>
          <w:p>
            <w:pPr>
              <w:keepNext/>
            </w:pPr>
            <w:r>
              <w:rPr>
                <w:sz w:val="17"/>
              </w:rPr>
              <w:t>+11.7</w:t>
            </w:r>
          </w:p>
        </w:tc>
        <w:tc>
          <w:tcPr>
            <w:tcW w:type="dxa" w:w="2340"/>
          </w:tcPr>
          <w:p>
            <w:pPr>
              <w:keepNext/>
            </w:pPr>
            <w:r>
              <w:rPr>
                <w:sz w:val="17"/>
              </w:rPr>
              <w:t>3.2</w:t>
            </w:r>
          </w:p>
        </w:tc>
      </w:tr>
      <w:tr>
        <w:trPr>
          <w:cantSplit w:val="true"/>
        </w:trPr>
        <w:tc>
          <w:tcPr>
            <w:tcW w:type="dxa" w:w="2340"/>
          </w:tcPr>
          <w:p>
            <w:pPr>
              <w:keepNext/>
            </w:pPr>
            <w:r>
              <w:rPr>
                <w:sz w:val="17"/>
              </w:rPr>
              <w:t>Inflation 1.5% / 4%</w:t>
            </w:r>
          </w:p>
        </w:tc>
        <w:tc>
          <w:tcPr>
            <w:tcW w:type="dxa" w:w="2340"/>
          </w:tcPr>
          <w:p>
            <w:pPr>
              <w:keepNext/>
            </w:pPr>
            <w:r>
              <w:rPr>
                <w:sz w:val="17"/>
              </w:rPr>
              <w:t>+11.4</w:t>
            </w:r>
          </w:p>
        </w:tc>
        <w:tc>
          <w:tcPr>
            <w:tcW w:type="dxa" w:w="2340"/>
          </w:tcPr>
          <w:p>
            <w:pPr>
              <w:keepNext/>
            </w:pPr>
            <w:r>
              <w:rPr>
                <w:sz w:val="17"/>
              </w:rPr>
              <w:t>+8.4</w:t>
            </w:r>
          </w:p>
        </w:tc>
        <w:tc>
          <w:tcPr>
            <w:tcW w:type="dxa" w:w="2340"/>
          </w:tcPr>
          <w:p>
            <w:pPr>
              <w:keepNext/>
            </w:pPr>
            <w:r>
              <w:rPr>
                <w:sz w:val="17"/>
              </w:rPr>
              <w:t>3.0</w:t>
            </w:r>
          </w:p>
        </w:tc>
      </w:tr>
      <w:tr>
        <w:trPr>
          <w:cantSplit w:val="true"/>
        </w:trPr>
        <w:tc>
          <w:tcPr>
            <w:tcW w:type="dxa" w:w="2340"/>
          </w:tcPr>
          <w:p>
            <w:pPr>
              <w:keepNext/>
            </w:pPr>
            <w:r>
              <w:rPr>
                <w:sz w:val="17"/>
              </w:rPr>
              <w:t>ROE ±100bp</w:t>
            </w:r>
          </w:p>
        </w:tc>
        <w:tc>
          <w:tcPr>
            <w:tcW w:type="dxa" w:w="2340"/>
          </w:tcPr>
          <w:p>
            <w:pPr>
              <w:keepNext/>
            </w:pPr>
            <w:r>
              <w:rPr>
                <w:sz w:val="17"/>
              </w:rPr>
              <w:t>+8.7</w:t>
            </w:r>
          </w:p>
        </w:tc>
        <w:tc>
          <w:tcPr>
            <w:tcW w:type="dxa" w:w="2340"/>
          </w:tcPr>
          <w:p>
            <w:pPr>
              <w:keepNext/>
            </w:pPr>
            <w:r>
              <w:rPr>
                <w:sz w:val="17"/>
              </w:rPr>
              <w:t>+11.6</w:t>
            </w:r>
          </w:p>
        </w:tc>
        <w:tc>
          <w:tcPr>
            <w:tcW w:type="dxa" w:w="2340"/>
          </w:tcPr>
          <w:p>
            <w:pPr>
              <w:keepNext/>
            </w:pPr>
            <w:r>
              <w:rPr>
                <w:sz w:val="17"/>
              </w:rPr>
              <w:t>2.9</w:t>
            </w:r>
          </w:p>
        </w:tc>
      </w:tr>
      <w:tr>
        <w:trPr>
          <w:cantSplit w:val="true"/>
        </w:trPr>
        <w:tc>
          <w:tcPr>
            <w:tcW w:type="dxa" w:w="2340"/>
          </w:tcPr>
          <w:p>
            <w:r>
              <w:rPr>
                <w:sz w:val="17"/>
              </w:rPr>
              <w:t>T&amp;D cost per kW ±50%</w:t>
            </w:r>
          </w:p>
        </w:tc>
        <w:tc>
          <w:tcPr>
            <w:tcW w:type="dxa" w:w="2340"/>
          </w:tcPr>
          <w:p>
            <w:r>
              <w:rPr>
                <w:sz w:val="17"/>
              </w:rPr>
              <w:t>+9.2</w:t>
            </w:r>
          </w:p>
        </w:tc>
        <w:tc>
          <w:tcPr>
            <w:tcW w:type="dxa" w:w="2340"/>
          </w:tcPr>
          <w:p>
            <w:r>
              <w:rPr>
                <w:sz w:val="17"/>
              </w:rPr>
              <w:t>+11.1</w:t>
            </w:r>
          </w:p>
        </w:tc>
        <w:tc>
          <w:tcPr>
            <w:tcW w:type="dxa" w:w="2340"/>
          </w:tcPr>
          <w:p>
            <w:r>
              <w:rPr>
                <w:sz w:val="17"/>
              </w:rPr>
              <w:t>2.0</w:t>
            </w:r>
          </w:p>
        </w:tc>
      </w:tr>
    </w:tbl>
    <w:p/>
    <w:p>
      <w:pPr>
        <w:jc w:val="center"/>
      </w:pPr>
      <w:r>
        <w:drawing>
          <wp:inline xmlns:a="http://schemas.openxmlformats.org/drawingml/2006/main" xmlns:pic="http://schemas.openxmlformats.org/drawingml/2006/picture">
            <wp:extent cx="5486400" cy="3086100"/>
            <wp:docPr id="10" name="Picture 10"/>
            <wp:cNvGraphicFramePr>
              <a:graphicFrameLocks noChangeAspect="1"/>
            </wp:cNvGraphicFramePr>
            <a:graphic>
              <a:graphicData uri="http://schemas.openxmlformats.org/drawingml/2006/picture">
                <pic:pic>
                  <pic:nvPicPr>
                    <pic:cNvPr id="0" name="sensitivity_tornado.png"/>
                    <pic:cNvPicPr/>
                  </pic:nvPicPr>
                  <pic:blipFill>
                    <a:blip r:embed="rId19"/>
                    <a:stretch>
                      <a:fillRect/>
                    </a:stretch>
                  </pic:blipFill>
                  <pic:spPr>
                    <a:xfrm>
                      <a:off x="0" y="0"/>
                      <a:ext cx="5486400" cy="3086100"/>
                    </a:xfrm>
                    <a:prstGeom prst="rect"/>
                  </pic:spPr>
                </pic:pic>
              </a:graphicData>
            </a:graphic>
          </wp:inline>
        </w:drawing>
      </w:r>
    </w:p>
    <w:p>
      <w:pPr>
        <w:jc w:val="center"/>
      </w:pPr>
      <w:r>
        <w:rPr>
          <w:b w:val="0"/>
          <w:i/>
          <w:sz w:val="18"/>
        </w:rPr>
        <w:t>Figure 10. Tornado chart: 2035 system-average rate impact versus counterfactual.</w:t>
      </w:r>
    </w:p>
    <w:p>
      <w:r>
        <w:rPr>
          <w:b w:val="0"/>
          <w:i w:val="0"/>
        </w:rPr>
        <w:t>The three most consequential assumptions are data center load factor, marginal energy cost, and capital cost. These, rather than model mechanics, should be the focus of further diligence and of any regulatory discovery. The low data center load-factor case uses the 50% average capacity utilization assumed in national data center energy estimates (Shehabi et al. 6).</w:t>
      </w:r>
    </w:p>
    <w:p>
      <w:pPr>
        <w:pStyle w:val="Heading2"/>
      </w:pPr>
      <w:r>
        <w:t>7.2 Stranded-asset stress and who pays</w:t>
      </w:r>
    </w:p>
    <w:p>
      <w:r>
        <w:rPr>
          <w:b w:val="0"/>
          <w:i w:val="0"/>
        </w:rPr>
        <w:t>We stress the Base case by assuming 25% of the data center load the system was built for after 2030 never arrives, while the associated plant remains in rate base. Without tariff protection the 2035 rate effect worsens from +10.1% to +13.8%. Under a GS-5-style tariff, the customers whose load did not arrive still pay 85% of the fixed transmission and distribution cost and 60% of the fixed generation cost built for them (Pampaloni), and pay 25% of construction cost upfront; the effect is then +5.3%, with minimum charges recovering $664M in 2035.</w:t>
      </w:r>
    </w:p>
    <w:p>
      <w:pPr>
        <w:keepNext/>
      </w:pPr>
      <w:r>
        <w:rPr>
          <w:b w:val="0"/>
          <w:i/>
          <w:sz w:val="18"/>
        </w:rPr>
        <w:t>Table 13. Who pays: 2035 rate outcomes under stranded-load stress</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cantSplit w:val="true"/>
          <w:tblHeader w:val="true"/>
        </w:trPr>
        <w:tc>
          <w:tcPr>
            <w:tcW w:type="dxa" w:w="1872"/>
            <w:shd w:val="clear" w:color="auto" w:fill="DCE6F1"/>
          </w:tcPr>
          <w:p>
            <w:pPr>
              <w:keepNext/>
            </w:pPr>
            <w:r>
              <w:rPr>
                <w:b/>
                <w:sz w:val="17"/>
              </w:rPr>
              <w:t>Case</w:t>
            </w:r>
          </w:p>
        </w:tc>
        <w:tc>
          <w:tcPr>
            <w:tcW w:type="dxa" w:w="1872"/>
            <w:shd w:val="clear" w:color="auto" w:fill="DCE6F1"/>
          </w:tcPr>
          <w:p>
            <w:pPr>
              <w:keepNext/>
            </w:pPr>
            <w:r>
              <w:rPr>
                <w:b/>
                <w:sz w:val="17"/>
              </w:rPr>
              <w:t>2035 rate ¢/kWh</w:t>
            </w:r>
          </w:p>
        </w:tc>
        <w:tc>
          <w:tcPr>
            <w:tcW w:type="dxa" w:w="1872"/>
            <w:shd w:val="clear" w:color="auto" w:fill="DCE6F1"/>
          </w:tcPr>
          <w:p>
            <w:pPr>
              <w:keepNext/>
            </w:pPr>
            <w:r>
              <w:rPr>
                <w:b/>
                <w:sz w:val="17"/>
              </w:rPr>
              <w:t>Δ vs counterfactual %</w:t>
            </w:r>
          </w:p>
        </w:tc>
        <w:tc>
          <w:tcPr>
            <w:tcW w:type="dxa" w:w="1872"/>
            <w:shd w:val="clear" w:color="auto" w:fill="DCE6F1"/>
          </w:tcPr>
          <w:p>
            <w:pPr>
              <w:keepNext/>
            </w:pPr>
            <w:r>
              <w:rPr>
                <w:b/>
                <w:sz w:val="17"/>
              </w:rPr>
              <w:t>Minimum-charge revenue $M</w:t>
            </w:r>
          </w:p>
        </w:tc>
        <w:tc>
          <w:tcPr>
            <w:tcW w:type="dxa" w:w="1872"/>
            <w:shd w:val="clear" w:color="auto" w:fill="DCE6F1"/>
          </w:tcPr>
          <w:p>
            <w:pPr>
              <w:keepNext/>
            </w:pPr>
            <w:r>
              <w:rPr>
                <w:b/>
                <w:sz w:val="17"/>
              </w:rPr>
              <w:t>Stranded MW</w:t>
            </w:r>
          </w:p>
        </w:tc>
      </w:tr>
      <w:tr>
        <w:trPr>
          <w:cantSplit w:val="true"/>
        </w:trPr>
        <w:tc>
          <w:tcPr>
            <w:tcW w:type="dxa" w:w="1872"/>
          </w:tcPr>
          <w:p>
            <w:pPr>
              <w:keepNext/>
            </w:pPr>
            <w:r>
              <w:rPr>
                <w:sz w:val="17"/>
              </w:rPr>
              <w:t>Base</w:t>
            </w:r>
          </w:p>
        </w:tc>
        <w:tc>
          <w:tcPr>
            <w:tcW w:type="dxa" w:w="1872"/>
          </w:tcPr>
          <w:p>
            <w:pPr>
              <w:keepNext/>
            </w:pPr>
            <w:r>
              <w:rPr>
                <w:sz w:val="17"/>
              </w:rPr>
              <w:t>15.35</w:t>
            </w:r>
          </w:p>
        </w:tc>
        <w:tc>
          <w:tcPr>
            <w:tcW w:type="dxa" w:w="1872"/>
          </w:tcPr>
          <w:p>
            <w:pPr>
              <w:keepNext/>
            </w:pPr>
            <w:r>
              <w:rPr>
                <w:sz w:val="17"/>
              </w:rPr>
              <w:t>+10.1</w:t>
            </w:r>
          </w:p>
        </w:tc>
        <w:tc>
          <w:tcPr>
            <w:tcW w:type="dxa" w:w="1872"/>
          </w:tcPr>
          <w:p>
            <w:pPr>
              <w:keepNext/>
            </w:pPr>
            <w:r>
              <w:rPr>
                <w:sz w:val="17"/>
              </w:rPr>
              <w:t>0</w:t>
            </w:r>
          </w:p>
        </w:tc>
        <w:tc>
          <w:tcPr>
            <w:tcW w:type="dxa" w:w="1872"/>
          </w:tcPr>
          <w:p>
            <w:pPr>
              <w:keepNext/>
            </w:pPr>
            <w:r>
              <w:rPr>
                <w:sz w:val="17"/>
              </w:rPr>
              <w:t>0</w:t>
            </w:r>
          </w:p>
        </w:tc>
      </w:tr>
      <w:tr>
        <w:trPr>
          <w:cantSplit w:val="true"/>
        </w:trPr>
        <w:tc>
          <w:tcPr>
            <w:tcW w:type="dxa" w:w="1872"/>
          </w:tcPr>
          <w:p>
            <w:pPr>
              <w:keepNext/>
            </w:pPr>
            <w:r>
              <w:rPr>
                <w:sz w:val="17"/>
              </w:rPr>
              <w:t>Base + stranding, no tariff</w:t>
            </w:r>
          </w:p>
        </w:tc>
        <w:tc>
          <w:tcPr>
            <w:tcW w:type="dxa" w:w="1872"/>
          </w:tcPr>
          <w:p>
            <w:pPr>
              <w:keepNext/>
            </w:pPr>
            <w:r>
              <w:rPr>
                <w:sz w:val="17"/>
              </w:rPr>
              <w:t>15.86</w:t>
            </w:r>
          </w:p>
        </w:tc>
        <w:tc>
          <w:tcPr>
            <w:tcW w:type="dxa" w:w="1872"/>
          </w:tcPr>
          <w:p>
            <w:pPr>
              <w:keepNext/>
            </w:pPr>
            <w:r>
              <w:rPr>
                <w:sz w:val="17"/>
              </w:rPr>
              <w:t>+13.8</w:t>
            </w:r>
          </w:p>
        </w:tc>
        <w:tc>
          <w:tcPr>
            <w:tcW w:type="dxa" w:w="1872"/>
          </w:tcPr>
          <w:p>
            <w:pPr>
              <w:keepNext/>
            </w:pPr>
            <w:r>
              <w:rPr>
                <w:sz w:val="17"/>
              </w:rPr>
              <w:t>0</w:t>
            </w:r>
          </w:p>
        </w:tc>
        <w:tc>
          <w:tcPr>
            <w:tcW w:type="dxa" w:w="1872"/>
          </w:tcPr>
          <w:p>
            <w:pPr>
              <w:keepNext/>
            </w:pPr>
            <w:r>
              <w:rPr>
                <w:sz w:val="17"/>
              </w:rPr>
              <w:t>1,767</w:t>
            </w:r>
          </w:p>
        </w:tc>
      </w:tr>
      <w:tr>
        <w:trPr>
          <w:cantSplit w:val="true"/>
        </w:trPr>
        <w:tc>
          <w:tcPr>
            <w:tcW w:type="dxa" w:w="1872"/>
          </w:tcPr>
          <w:p>
            <w:r>
              <w:rPr>
                <w:sz w:val="17"/>
              </w:rPr>
              <w:t>Base + stranding, GS-5 tariff</w:t>
            </w:r>
          </w:p>
        </w:tc>
        <w:tc>
          <w:tcPr>
            <w:tcW w:type="dxa" w:w="1872"/>
          </w:tcPr>
          <w:p>
            <w:r>
              <w:rPr>
                <w:sz w:val="17"/>
              </w:rPr>
              <w:t>14.68</w:t>
            </w:r>
          </w:p>
        </w:tc>
        <w:tc>
          <w:tcPr>
            <w:tcW w:type="dxa" w:w="1872"/>
          </w:tcPr>
          <w:p>
            <w:r>
              <w:rPr>
                <w:sz w:val="17"/>
              </w:rPr>
              <w:t>+5.3</w:t>
            </w:r>
          </w:p>
        </w:tc>
        <w:tc>
          <w:tcPr>
            <w:tcW w:type="dxa" w:w="1872"/>
          </w:tcPr>
          <w:p>
            <w:r>
              <w:rPr>
                <w:sz w:val="17"/>
              </w:rPr>
              <w:t>664</w:t>
            </w:r>
          </w:p>
        </w:tc>
        <w:tc>
          <w:tcPr>
            <w:tcW w:type="dxa" w:w="1872"/>
          </w:tcPr>
          <w:p>
            <w:r>
              <w:rPr>
                <w:sz w:val="17"/>
              </w:rPr>
              <w:t>1,767</w:t>
            </w:r>
          </w:p>
        </w:tc>
      </w:tr>
    </w:tbl>
    <w:p/>
    <w:p>
      <w:r>
        <w:rPr>
          <w:b w:val="0"/>
          <w:i w:val="0"/>
        </w:rPr>
        <w:t>In practice, residential customers bear part of the generation and transmission cost of new load through class cost-of-service allocation: Virginia's legislative auditor found that data centers currently pay their full cost of service, but projected that a typical Dominion residential customer's generation- and transmission-related costs could still rise by $14 to $37 per month in constant dollars by 2040 as the system expands to serve them (Joint Legislative Audit and Review Commission). Regulators have since begun shifting this burden: in July 2026 the State Corporation Commission ordered Dominion to directly assign the substations and connecting lines built for large loads to those customers and approved a 12-coincident-peak transmission allocation that cut the proposed residential increase from $2.90 to $0.94 per month (DiGangi, "Dominion Ordered"). Because this report models only system-average rates, the residential effects shown here are indicative, and the true residential impact depends on how future cost-of-service studies allocate data-center-driven costs among classes.</w:t>
      </w:r>
    </w:p>
    <w:p>
      <w:pPr>
        <w:pStyle w:val="Heading1"/>
      </w:pPr>
      <w:r>
        <w:t>8. Comparison to Utility and ISO Forecasts</w:t>
      </w:r>
    </w:p>
    <w:p>
      <w:pPr>
        <w:keepNext/>
      </w:pPr>
      <w:r>
        <w:rPr>
          <w:b w:val="0"/>
          <w:i/>
          <w:sz w:val="18"/>
        </w:rPr>
        <w:t>Table 14. This report versus official forecasts (total system peak)</w:t>
      </w:r>
    </w:p>
    <w:tbl>
      <w:tblPr>
        <w:tblStyle w:val="TableGrid"/>
        <w:tblW w:type="auto" w:w="0"/>
        <w:jc w:val="center"/>
        <w:tblLook w:firstColumn="1" w:firstRow="1" w:lastColumn="0" w:lastRow="0" w:noHBand="0" w:noVBand="1" w:val="04A0"/>
      </w:tblPr>
      <w:tblGrid>
        <w:gridCol w:w="1170"/>
        <w:gridCol w:w="1170"/>
        <w:gridCol w:w="1170"/>
        <w:gridCol w:w="1170"/>
        <w:gridCol w:w="1170"/>
        <w:gridCol w:w="1170"/>
        <w:gridCol w:w="1170"/>
        <w:gridCol w:w="1170"/>
      </w:tblGrid>
      <w:tr>
        <w:trPr>
          <w:cantSplit w:val="true"/>
          <w:tblHeader w:val="true"/>
        </w:trPr>
        <w:tc>
          <w:tcPr>
            <w:tcW w:type="dxa" w:w="1170"/>
            <w:shd w:val="clear" w:color="auto" w:fill="DCE6F1"/>
          </w:tcPr>
          <w:p>
            <w:pPr>
              <w:keepNext/>
            </w:pPr>
            <w:r>
              <w:rPr>
                <w:b/>
                <w:sz w:val="16"/>
              </w:rPr>
              <w:t>Source</w:t>
            </w:r>
          </w:p>
        </w:tc>
        <w:tc>
          <w:tcPr>
            <w:tcW w:type="dxa" w:w="1170"/>
            <w:shd w:val="clear" w:color="auto" w:fill="DCE6F1"/>
          </w:tcPr>
          <w:p>
            <w:pPr>
              <w:keepNext/>
            </w:pPr>
            <w:r>
              <w:rPr>
                <w:b/>
                <w:sz w:val="16"/>
              </w:rPr>
              <w:t>Vintage</w:t>
            </w:r>
          </w:p>
        </w:tc>
        <w:tc>
          <w:tcPr>
            <w:tcW w:type="dxa" w:w="1170"/>
            <w:shd w:val="clear" w:color="auto" w:fill="DCE6F1"/>
          </w:tcPr>
          <w:p>
            <w:pPr>
              <w:keepNext/>
            </w:pPr>
            <w:r>
              <w:rPr>
                <w:b/>
                <w:sz w:val="16"/>
              </w:rPr>
              <w:t>Year</w:t>
            </w:r>
          </w:p>
        </w:tc>
        <w:tc>
          <w:tcPr>
            <w:tcW w:type="dxa" w:w="1170"/>
            <w:shd w:val="clear" w:color="auto" w:fill="DCE6F1"/>
          </w:tcPr>
          <w:p>
            <w:pPr>
              <w:keepNext/>
            </w:pPr>
            <w:r>
              <w:rPr>
                <w:b/>
                <w:sz w:val="16"/>
              </w:rPr>
              <w:t>Official MW</w:t>
            </w:r>
          </w:p>
        </w:tc>
        <w:tc>
          <w:tcPr>
            <w:tcW w:type="dxa" w:w="1170"/>
            <w:shd w:val="clear" w:color="auto" w:fill="DCE6F1"/>
          </w:tcPr>
          <w:p>
            <w:pPr>
              <w:keepNext/>
            </w:pPr>
            <w:r>
              <w:rPr>
                <w:b/>
                <w:sz w:val="16"/>
              </w:rPr>
              <w:t>This report 5th pct.</w:t>
            </w:r>
          </w:p>
        </w:tc>
        <w:tc>
          <w:tcPr>
            <w:tcW w:type="dxa" w:w="1170"/>
            <w:shd w:val="clear" w:color="auto" w:fill="DCE6F1"/>
          </w:tcPr>
          <w:p>
            <w:pPr>
              <w:keepNext/>
            </w:pPr>
            <w:r>
              <w:rPr>
                <w:b/>
                <w:sz w:val="16"/>
              </w:rPr>
              <w:t>This report Base</w:t>
            </w:r>
          </w:p>
        </w:tc>
        <w:tc>
          <w:tcPr>
            <w:tcW w:type="dxa" w:w="1170"/>
            <w:shd w:val="clear" w:color="auto" w:fill="DCE6F1"/>
          </w:tcPr>
          <w:p>
            <w:pPr>
              <w:keepNext/>
            </w:pPr>
            <w:r>
              <w:rPr>
                <w:b/>
                <w:sz w:val="16"/>
              </w:rPr>
              <w:t>This report 95th pct.</w:t>
            </w:r>
          </w:p>
        </w:tc>
        <w:tc>
          <w:tcPr>
            <w:tcW w:type="dxa" w:w="1170"/>
            <w:shd w:val="clear" w:color="auto" w:fill="DCE6F1"/>
          </w:tcPr>
          <w:p>
            <w:pPr>
              <w:keepNext/>
            </w:pPr>
            <w:r>
              <w:rPr>
                <w:b/>
                <w:sz w:val="16"/>
              </w:rPr>
              <w:t>Gap %</w:t>
            </w:r>
          </w:p>
        </w:tc>
      </w:tr>
      <w:tr>
        <w:trPr>
          <w:cantSplit w:val="true"/>
        </w:trPr>
        <w:tc>
          <w:tcPr>
            <w:tcW w:type="dxa" w:w="1170"/>
          </w:tcPr>
          <w:p>
            <w:pPr>
              <w:keepNext/>
            </w:pPr>
            <w:r>
              <w:rPr>
                <w:sz w:val="16"/>
              </w:rPr>
              <w:t>PJM 2026 Load Forecast (derived)</w:t>
            </w:r>
          </w:p>
        </w:tc>
        <w:tc>
          <w:tcPr>
            <w:tcW w:type="dxa" w:w="1170"/>
          </w:tcPr>
          <w:p>
            <w:pPr>
              <w:keepNext/>
            </w:pPr>
            <w:r>
              <w:rPr>
                <w:sz w:val="16"/>
              </w:rPr>
              <w:t>2026</w:t>
            </w:r>
          </w:p>
        </w:tc>
        <w:tc>
          <w:tcPr>
            <w:tcW w:type="dxa" w:w="1170"/>
          </w:tcPr>
          <w:p>
            <w:pPr>
              <w:keepNext/>
            </w:pPr>
            <w:r>
              <w:rPr>
                <w:sz w:val="16"/>
              </w:rPr>
              <w:t>2030</w:t>
            </w:r>
          </w:p>
        </w:tc>
        <w:tc>
          <w:tcPr>
            <w:tcW w:type="dxa" w:w="1170"/>
          </w:tcPr>
          <w:p>
            <w:pPr>
              <w:keepNext/>
            </w:pPr>
            <w:r>
              <w:rPr>
                <w:sz w:val="16"/>
              </w:rPr>
              <w:t>31,095</w:t>
            </w:r>
          </w:p>
        </w:tc>
        <w:tc>
          <w:tcPr>
            <w:tcW w:type="dxa" w:w="1170"/>
          </w:tcPr>
          <w:p>
            <w:pPr>
              <w:keepNext/>
            </w:pPr>
            <w:r>
              <w:rPr>
                <w:sz w:val="16"/>
              </w:rPr>
              <w:t>28,206</w:t>
            </w:r>
          </w:p>
        </w:tc>
        <w:tc>
          <w:tcPr>
            <w:tcW w:type="dxa" w:w="1170"/>
          </w:tcPr>
          <w:p>
            <w:pPr>
              <w:keepNext/>
            </w:pPr>
            <w:r>
              <w:rPr>
                <w:sz w:val="16"/>
              </w:rPr>
              <w:t>31,035</w:t>
            </w:r>
          </w:p>
        </w:tc>
        <w:tc>
          <w:tcPr>
            <w:tcW w:type="dxa" w:w="1170"/>
          </w:tcPr>
          <w:p>
            <w:pPr>
              <w:keepNext/>
            </w:pPr>
            <w:r>
              <w:rPr>
                <w:sz w:val="16"/>
              </w:rPr>
              <w:t>33,129</w:t>
            </w:r>
          </w:p>
        </w:tc>
        <w:tc>
          <w:tcPr>
            <w:tcW w:type="dxa" w:w="1170"/>
          </w:tcPr>
          <w:p>
            <w:pPr>
              <w:keepNext/>
            </w:pPr>
            <w:r>
              <w:rPr>
                <w:sz w:val="16"/>
              </w:rPr>
              <w:t>-0.2</w:t>
            </w:r>
          </w:p>
        </w:tc>
      </w:tr>
      <w:tr>
        <w:trPr>
          <w:cantSplit w:val="true"/>
        </w:trPr>
        <w:tc>
          <w:tcPr>
            <w:tcW w:type="dxa" w:w="1170"/>
          </w:tcPr>
          <w:p>
            <w:r>
              <w:rPr>
                <w:sz w:val="16"/>
              </w:rPr>
              <w:t>PJM 2026 Load Forecast (derived)</w:t>
            </w:r>
          </w:p>
        </w:tc>
        <w:tc>
          <w:tcPr>
            <w:tcW w:type="dxa" w:w="1170"/>
          </w:tcPr>
          <w:p>
            <w:r>
              <w:rPr>
                <w:sz w:val="16"/>
              </w:rPr>
              <w:t>2026</w:t>
            </w:r>
          </w:p>
        </w:tc>
        <w:tc>
          <w:tcPr>
            <w:tcW w:type="dxa" w:w="1170"/>
          </w:tcPr>
          <w:p>
            <w:r>
              <w:rPr>
                <w:sz w:val="16"/>
              </w:rPr>
              <w:t>2035</w:t>
            </w:r>
          </w:p>
        </w:tc>
        <w:tc>
          <w:tcPr>
            <w:tcW w:type="dxa" w:w="1170"/>
          </w:tcPr>
          <w:p>
            <w:r>
              <w:rPr>
                <w:sz w:val="16"/>
              </w:rPr>
              <w:t>40,448</w:t>
            </w:r>
          </w:p>
        </w:tc>
        <w:tc>
          <w:tcPr>
            <w:tcW w:type="dxa" w:w="1170"/>
          </w:tcPr>
          <w:p>
            <w:r>
              <w:rPr>
                <w:sz w:val="16"/>
              </w:rPr>
              <w:t>32,548</w:t>
            </w:r>
          </w:p>
        </w:tc>
        <w:tc>
          <w:tcPr>
            <w:tcW w:type="dxa" w:w="1170"/>
          </w:tcPr>
          <w:p>
            <w:r>
              <w:rPr>
                <w:sz w:val="16"/>
              </w:rPr>
              <w:t>37,013</w:t>
            </w:r>
          </w:p>
        </w:tc>
        <w:tc>
          <w:tcPr>
            <w:tcW w:type="dxa" w:w="1170"/>
          </w:tcPr>
          <w:p>
            <w:r>
              <w:rPr>
                <w:sz w:val="16"/>
              </w:rPr>
              <w:t>40,457</w:t>
            </w:r>
          </w:p>
        </w:tc>
        <w:tc>
          <w:tcPr>
            <w:tcW w:type="dxa" w:w="1170"/>
          </w:tcPr>
          <w:p>
            <w:r>
              <w:rPr>
                <w:sz w:val="16"/>
              </w:rPr>
              <w:t>-8.5</w:t>
            </w:r>
          </w:p>
        </w:tc>
      </w:tr>
    </w:tbl>
    <w:p/>
    <w:p>
      <w:pPr>
        <w:jc w:val="center"/>
      </w:pPr>
      <w:r>
        <w:drawing>
          <wp:inline xmlns:a="http://schemas.openxmlformats.org/drawingml/2006/main" xmlns:pic="http://schemas.openxmlformats.org/drawingml/2006/picture">
            <wp:extent cx="5486400" cy="3086100"/>
            <wp:docPr id="11" name="Picture 11"/>
            <wp:cNvGraphicFramePr>
              <a:graphicFrameLocks noChangeAspect="1"/>
            </wp:cNvGraphicFramePr>
            <a:graphic>
              <a:graphicData uri="http://schemas.openxmlformats.org/drawingml/2006/picture">
                <pic:pic>
                  <pic:nvPicPr>
                    <pic:cNvPr id="0" name="benchmark_peak.png"/>
                    <pic:cNvPicPr/>
                  </pic:nvPicPr>
                  <pic:blipFill>
                    <a:blip r:embed="rId20"/>
                    <a:stretch>
                      <a:fillRect/>
                    </a:stretch>
                  </pic:blipFill>
                  <pic:spPr>
                    <a:xfrm>
                      <a:off x="0" y="0"/>
                      <a:ext cx="5486400" cy="3086100"/>
                    </a:xfrm>
                    <a:prstGeom prst="rect"/>
                  </pic:spPr>
                </pic:pic>
              </a:graphicData>
            </a:graphic>
          </wp:inline>
        </w:drawing>
      </w:r>
    </w:p>
    <w:p>
      <w:pPr>
        <w:jc w:val="center"/>
      </w:pPr>
      <w:r>
        <w:rPr>
          <w:b w:val="0"/>
          <w:i/>
          <w:sz w:val="18"/>
        </w:rPr>
        <w:t>Figure 11. Base case and 5–95% range versus published forecasts.</w:t>
      </w:r>
    </w:p>
    <w:p>
      <w:pPr>
        <w:jc w:val="center"/>
      </w:pPr>
      <w:r>
        <w:drawing>
          <wp:inline xmlns:a="http://schemas.openxmlformats.org/drawingml/2006/main" xmlns:pic="http://schemas.openxmlformats.org/drawingml/2006/picture">
            <wp:extent cx="5486400" cy="2926080"/>
            <wp:docPr id="12" name="Picture 12"/>
            <wp:cNvGraphicFramePr>
              <a:graphicFrameLocks noChangeAspect="1"/>
            </wp:cNvGraphicFramePr>
            <a:graphic>
              <a:graphicData uri="http://schemas.openxmlformats.org/drawingml/2006/picture">
                <pic:pic>
                  <pic:nvPicPr>
                    <pic:cNvPr id="0" name="history_and_forecast.png"/>
                    <pic:cNvPicPr/>
                  </pic:nvPicPr>
                  <pic:blipFill>
                    <a:blip r:embed="rId21"/>
                    <a:stretch>
                      <a:fillRect/>
                    </a:stretch>
                  </pic:blipFill>
                  <pic:spPr>
                    <a:xfrm>
                      <a:off x="0" y="0"/>
                      <a:ext cx="5486400" cy="2926080"/>
                    </a:xfrm>
                    <a:prstGeom prst="rect"/>
                  </pic:spPr>
                </pic:pic>
              </a:graphicData>
            </a:graphic>
          </wp:inline>
        </w:drawing>
      </w:r>
    </w:p>
    <w:p>
      <w:pPr>
        <w:jc w:val="center"/>
      </w:pPr>
      <w:r>
        <w:rPr>
          <w:b w:val="0"/>
          <w:i/>
          <w:sz w:val="18"/>
        </w:rPr>
        <w:t>Figure 12. Historical peak, counterfactual baseline and total forecast with official forecasts.</w:t>
      </w:r>
    </w:p>
    <w:p>
      <w:r>
        <w:rPr>
          <w:b w:val="0"/>
          <w:i w:val="0"/>
        </w:rPr>
        <w:t>Differences between this forecast and official projections arise from identifiable assumptions. To size each one, the corresponding setting is switched to the official forecast's value, the model is rerun, and the change in the projected peak is recorded below.</w:t>
      </w:r>
    </w:p>
    <w:p>
      <w:pPr>
        <w:pStyle w:val="Heading1"/>
      </w:pPr>
      <w:r>
        <w:t>9. Limitations</w:t>
      </w:r>
    </w:p>
    <w:p>
      <w:pPr>
        <w:pStyle w:val="ListBullet"/>
      </w:pPr>
      <w:r>
        <w:t>The EIA-930 footprint (PJM, DOM sub-region) does not exactly match the utility's retail service territory, and the counterfactual retail rate is a statewide average.</w:t>
      </w:r>
    </w:p>
    <w:p>
      <w:pPr>
        <w:pStyle w:val="ListBullet"/>
      </w:pPr>
      <w:r>
        <w:t>Weather is proxied by three stations with assumed population weights.</w:t>
      </w:r>
    </w:p>
    <w:p>
      <w:pPr>
        <w:pStyle w:val="ListBullet"/>
      </w:pPr>
      <w:r>
        <w:t>Removing historical data center load depends on disclosed connected capacity and an assumed load factor.</w:t>
      </w:r>
    </w:p>
    <w:p>
      <w:pPr>
        <w:pStyle w:val="ListBullet"/>
      </w:pPr>
      <w:r>
        <w:t>Stage probabilities are judgmental, anchored to cited completion statistics; they and the size of the shared shock are dominant sources of uncertainty.</w:t>
      </w:r>
    </w:p>
    <w:p>
      <w:pPr>
        <w:pStyle w:val="ListBullet"/>
      </w:pPr>
      <w:r>
        <w:t>Capacity is assumed to be built in the year of need; construction lead times, supply-chain constraints, and interconnection delays are not modeled.</w:t>
      </w:r>
    </w:p>
    <w:p>
      <w:pPr>
        <w:pStyle w:val="ListBullet"/>
      </w:pPr>
      <w:r>
        <w:t>The rate analysis is system-average; class cost-of-service allocation is not modeled, so residential impacts are indicative.</w:t>
      </w:r>
    </w:p>
    <w:p>
      <w:pPr>
        <w:pStyle w:val="ListBullet"/>
      </w:pPr>
      <w:r>
        <w:t>Capacity-market price effects, fuel price volatility, and federal tax credit changes are outside scope.</w:t>
      </w:r>
    </w:p>
    <w:p>
      <w:pPr>
        <w:pStyle w:val="ListBullet"/>
      </w:pPr>
      <w:r>
        <w:t>Capital costs are drawn from national benchmarks adjusted for inflation, not from project-specific bids; book lives, T&amp;D cost per kW, cost of debt, and upfront contribution shares are assumptions.</w:t>
      </w:r>
    </w:p>
    <w:p>
      <w:pPr>
        <w:pStyle w:val="Heading1"/>
      </w:pPr>
      <w:r>
        <w:t>10. Conclusion and Recommendation</w:t>
      </w:r>
    </w:p>
    <w:p>
      <w:r>
        <w:rPr>
          <w:b w:val="0"/>
          <w:i w:val="0"/>
        </w:rPr>
        <w:t>Treating data center announcements as a probability-weighted pipeline rather than a certainty yields a 2035 incremental peak of 12,957 MW (90% range 8,661–16,569 MW), $83.4B of capital, and a Base-case system-average rate effect of +10.1% relative to a world without new data centers. The distribution of outcomes is wide, and the downside, stranded capacity, falls on all customers unless tariff design prevents it.</w:t>
      </w:r>
    </w:p>
    <w:p>
      <w:r>
        <w:rPr>
          <w:b w:val="0"/>
          <w:i w:val="0"/>
        </w:rPr>
        <w:t>We recommend that planners: (1) size firm procurement to the Base case and hold options for the High case; (2) tie each procurement tranche to signed ESAs with collateral; (3) adopt a large-load tariff with minimum-bill and CIAC provisions; and (4) refresh this forecast annually, prioritizing evidence on data center load factor, marginal energy cost, and capital cost.</w:t>
      </w:r>
    </w:p>
    <w:p>
      <w:r>
        <w:rPr>
          <w:b w:val="0"/>
          <w:i w:val="0"/>
        </w:rPr>
        <w:t>Rising local opposition is a material risk that this model does not quantify directly. Large proposals have already been withdrawn or rejected in Prince William County (Zhang and Siddiki); if such outcomes become common, the Low scenario becomes more likely than the Base case. Because every input is public, the same method can be applied to any territory facing large-load growth by swapping in that utility's load data, project pipeline, and resource plan.</w:t>
      </w:r>
    </w:p>
    <w:p>
      <w:r>
        <w:br w:type="page"/>
      </w:r>
    </w:p>
    <w:p>
      <w:pPr>
        <w:pStyle w:val="Heading1"/>
      </w:pPr>
      <w:r>
        <w:t>Appendix A. Assumptions Register</w:t>
      </w:r>
    </w:p>
    <w:p>
      <w:r>
        <w:rPr>
          <w:b w:val="0"/>
          <w:i w:val="0"/>
          <w:sz w:val="18"/>
        </w:rPr>
        <w:t>Every model input as set in the notebook's Assumptions cell, with its source. Inputs labeled "Assumption" are not taken from a published source; the most influential are tested in Section 7.1.</w:t>
      </w:r>
    </w:p>
    <w:p>
      <w:pPr>
        <w:keepNext/>
      </w:pPr>
      <w:r>
        <w:rPr>
          <w:b w:val="0"/>
          <w:i/>
          <w:sz w:val="18"/>
        </w:rPr>
        <w:t>Table 15. Assumptions register</w:t>
      </w:r>
    </w:p>
    <w:tbl>
      <w:tblPr>
        <w:tblStyle w:val="TableGrid"/>
        <w:tblW w:type="auto" w:w="0"/>
        <w:jc w:val="center"/>
        <w:tblLook w:firstColumn="1" w:firstRow="1" w:lastColumn="0" w:lastRow="0" w:noHBand="0" w:noVBand="1" w:val="04A0"/>
      </w:tblPr>
      <w:tblGrid>
        <w:gridCol w:w="3120"/>
        <w:gridCol w:w="3120"/>
        <w:gridCol w:w="3120"/>
      </w:tblGrid>
      <w:tr>
        <w:trPr>
          <w:cantSplit w:val="true"/>
          <w:tblHeader w:val="true"/>
        </w:trPr>
        <w:tc>
          <w:tcPr>
            <w:tcW w:type="dxa" w:w="3120"/>
            <w:shd w:val="clear" w:color="auto" w:fill="DCE6F1"/>
          </w:tcPr>
          <w:p>
            <w:r>
              <w:rPr>
                <w:b/>
                <w:sz w:val="15"/>
              </w:rPr>
              <w:t>Parameter</w:t>
            </w:r>
          </w:p>
        </w:tc>
        <w:tc>
          <w:tcPr>
            <w:tcW w:type="dxa" w:w="3120"/>
            <w:shd w:val="clear" w:color="auto" w:fill="DCE6F1"/>
          </w:tcPr>
          <w:p>
            <w:r>
              <w:rPr>
                <w:b/>
                <w:sz w:val="15"/>
              </w:rPr>
              <w:t>Value</w:t>
            </w:r>
          </w:p>
        </w:tc>
        <w:tc>
          <w:tcPr>
            <w:tcW w:type="dxa" w:w="3120"/>
            <w:shd w:val="clear" w:color="auto" w:fill="DCE6F1"/>
          </w:tcPr>
          <w:p>
            <w:r>
              <w:rPr>
                <w:b/>
                <w:sz w:val="15"/>
              </w:rPr>
              <w:t>Source</w:t>
            </w:r>
          </w:p>
        </w:tc>
      </w:tr>
      <w:tr>
        <w:trPr>
          <w:cantSplit w:val="true"/>
        </w:trPr>
        <w:tc>
          <w:tcPr>
            <w:tcW w:type="dxa" w:w="3120"/>
          </w:tcPr>
          <w:p>
            <w:r>
              <w:rPr>
                <w:sz w:val="15"/>
              </w:rPr>
              <w:t>anchor_to_base_year</w:t>
            </w:r>
          </w:p>
        </w:tc>
        <w:tc>
          <w:tcPr>
            <w:tcW w:type="dxa" w:w="3120"/>
          </w:tcPr>
          <w:p>
            <w:r>
              <w:rPr>
                <w:sz w:val="15"/>
              </w:rPr>
              <w:t>False</w:t>
            </w:r>
          </w:p>
        </w:tc>
        <w:tc>
          <w:tcPr>
            <w:tcW w:type="dxa" w:w="3120"/>
          </w:tcPr>
          <w:p>
            <w:r>
              <w:rPr>
                <w:sz w:val="15"/>
              </w:rPr>
              <w:t>Modeling choice</w:t>
            </w:r>
          </w:p>
        </w:tc>
      </w:tr>
      <w:tr>
        <w:trPr>
          <w:cantSplit w:val="true"/>
        </w:trPr>
        <w:tc>
          <w:tcPr>
            <w:tcW w:type="dxa" w:w="3120"/>
          </w:tcPr>
          <w:p>
            <w:r>
              <w:rPr>
                <w:sz w:val="15"/>
              </w:rPr>
              <w:t>exclude_energized_from_overlay</w:t>
            </w:r>
          </w:p>
        </w:tc>
        <w:tc>
          <w:tcPr>
            <w:tcW w:type="dxa" w:w="3120"/>
          </w:tcPr>
          <w:p>
            <w:r>
              <w:rPr>
                <w:sz w:val="15"/>
              </w:rPr>
              <w:t>True</w:t>
            </w:r>
          </w:p>
        </w:tc>
        <w:tc>
          <w:tcPr>
            <w:tcW w:type="dxa" w:w="3120"/>
          </w:tcPr>
          <w:p>
            <w:r>
              <w:rPr>
                <w:sz w:val="15"/>
              </w:rPr>
              <w:t>Modeling choice (avoids double counting)</w:t>
            </w:r>
          </w:p>
        </w:tc>
      </w:tr>
      <w:tr>
        <w:trPr>
          <w:cantSplit w:val="true"/>
        </w:trPr>
        <w:tc>
          <w:tcPr>
            <w:tcW w:type="dxa" w:w="3120"/>
          </w:tcPr>
          <w:p>
            <w:r>
              <w:rPr>
                <w:sz w:val="15"/>
              </w:rPr>
              <w:t>eia_route</w:t>
            </w:r>
          </w:p>
        </w:tc>
        <w:tc>
          <w:tcPr>
            <w:tcW w:type="dxa" w:w="3120"/>
          </w:tcPr>
          <w:p>
            <w:r>
              <w:rPr>
                <w:sz w:val="15"/>
              </w:rPr>
              <w:t>electricity/rto/region-sub-ba-data</w:t>
            </w:r>
          </w:p>
        </w:tc>
        <w:tc>
          <w:tcPr>
            <w:tcW w:type="dxa" w:w="3120"/>
          </w:tcPr>
          <w:p>
            <w:r>
              <w:rPr>
                <w:sz w:val="15"/>
              </w:rPr>
              <w:t>U.S. Energy Information Administration, "Hourly Electric Grid Monitor"</w:t>
            </w:r>
          </w:p>
        </w:tc>
      </w:tr>
      <w:tr>
        <w:trPr>
          <w:cantSplit w:val="true"/>
        </w:trPr>
        <w:tc>
          <w:tcPr>
            <w:tcW w:type="dxa" w:w="3120"/>
          </w:tcPr>
          <w:p>
            <w:r>
              <w:rPr>
                <w:sz w:val="15"/>
              </w:rPr>
              <w:t>load_start</w:t>
            </w:r>
          </w:p>
        </w:tc>
        <w:tc>
          <w:tcPr>
            <w:tcW w:type="dxa" w:w="3120"/>
          </w:tcPr>
          <w:p>
            <w:r>
              <w:rPr>
                <w:sz w:val="15"/>
              </w:rPr>
              <w:t>2019-01-01T00</w:t>
            </w:r>
          </w:p>
        </w:tc>
        <w:tc>
          <w:tcPr>
            <w:tcW w:type="dxa" w:w="3120"/>
          </w:tcPr>
          <w:p>
            <w:r>
              <w:rPr>
                <w:sz w:val="15"/>
              </w:rPr>
              <w:t>Data availability (EIA-930)</w:t>
            </w:r>
          </w:p>
        </w:tc>
      </w:tr>
      <w:tr>
        <w:trPr>
          <w:cantSplit w:val="true"/>
        </w:trPr>
        <w:tc>
          <w:tcPr>
            <w:tcW w:type="dxa" w:w="3120"/>
          </w:tcPr>
          <w:p>
            <w:r>
              <w:rPr>
                <w:sz w:val="15"/>
              </w:rPr>
              <w:t>load_end</w:t>
            </w:r>
          </w:p>
        </w:tc>
        <w:tc>
          <w:tcPr>
            <w:tcW w:type="dxa" w:w="3120"/>
          </w:tcPr>
          <w:p>
            <w:r>
              <w:rPr>
                <w:sz w:val="15"/>
              </w:rPr>
              <w:t>2025-12-31T23</w:t>
            </w:r>
          </w:p>
        </w:tc>
        <w:tc>
          <w:tcPr>
            <w:tcW w:type="dxa" w:w="3120"/>
          </w:tcPr>
          <w:p>
            <w:r>
              <w:rPr>
                <w:sz w:val="15"/>
              </w:rPr>
              <w:t>Data availability (EIA-930)</w:t>
            </w:r>
          </w:p>
        </w:tc>
      </w:tr>
      <w:tr>
        <w:trPr>
          <w:cantSplit w:val="true"/>
        </w:trPr>
        <w:tc>
          <w:tcPr>
            <w:tcW w:type="dxa" w:w="3120"/>
          </w:tcPr>
          <w:p>
            <w:r>
              <w:rPr>
                <w:sz w:val="15"/>
              </w:rPr>
              <w:t>base_year</w:t>
            </w:r>
          </w:p>
        </w:tc>
        <w:tc>
          <w:tcPr>
            <w:tcW w:type="dxa" w:w="3120"/>
          </w:tcPr>
          <w:p>
            <w:r>
              <w:rPr>
                <w:sz w:val="15"/>
              </w:rPr>
              <w:t>2024</w:t>
            </w:r>
          </w:p>
        </w:tc>
        <w:tc>
          <w:tcPr>
            <w:tcW w:type="dxa" w:w="3120"/>
          </w:tcPr>
          <w:p>
            <w:r>
              <w:rPr>
                <w:sz w:val="15"/>
              </w:rPr>
              <w:t>Modeling choice</w:t>
            </w:r>
          </w:p>
        </w:tc>
      </w:tr>
      <w:tr>
        <w:trPr>
          <w:cantSplit w:val="true"/>
        </w:trPr>
        <w:tc>
          <w:tcPr>
            <w:tcW w:type="dxa" w:w="3120"/>
          </w:tcPr>
          <w:p>
            <w:r>
              <w:rPr>
                <w:sz w:val="15"/>
              </w:rPr>
              <w:t>horizon_start</w:t>
            </w:r>
          </w:p>
        </w:tc>
        <w:tc>
          <w:tcPr>
            <w:tcW w:type="dxa" w:w="3120"/>
          </w:tcPr>
          <w:p>
            <w:r>
              <w:rPr>
                <w:sz w:val="15"/>
              </w:rPr>
              <w:t>2025</w:t>
            </w:r>
          </w:p>
        </w:tc>
        <w:tc>
          <w:tcPr>
            <w:tcW w:type="dxa" w:w="3120"/>
          </w:tcPr>
          <w:p>
            <w:r>
              <w:rPr>
                <w:sz w:val="15"/>
              </w:rPr>
              <w:t>Modeling choice</w:t>
            </w:r>
          </w:p>
        </w:tc>
      </w:tr>
      <w:tr>
        <w:trPr>
          <w:cantSplit w:val="true"/>
        </w:trPr>
        <w:tc>
          <w:tcPr>
            <w:tcW w:type="dxa" w:w="3120"/>
          </w:tcPr>
          <w:p>
            <w:r>
              <w:rPr>
                <w:sz w:val="15"/>
              </w:rPr>
              <w:t>horizon_end</w:t>
            </w:r>
          </w:p>
        </w:tc>
        <w:tc>
          <w:tcPr>
            <w:tcW w:type="dxa" w:w="3120"/>
          </w:tcPr>
          <w:p>
            <w:r>
              <w:rPr>
                <w:sz w:val="15"/>
              </w:rPr>
              <w:t>2035</w:t>
            </w:r>
          </w:p>
        </w:tc>
        <w:tc>
          <w:tcPr>
            <w:tcW w:type="dxa" w:w="3120"/>
          </w:tcPr>
          <w:p>
            <w:r>
              <w:rPr>
                <w:sz w:val="15"/>
              </w:rPr>
              <w:t>Modeling choice</w:t>
            </w:r>
          </w:p>
        </w:tc>
      </w:tr>
      <w:tr>
        <w:trPr>
          <w:cantSplit w:val="true"/>
        </w:trPr>
        <w:tc>
          <w:tcPr>
            <w:tcW w:type="dxa" w:w="3120"/>
          </w:tcPr>
          <w:p>
            <w:r>
              <w:rPr>
                <w:sz w:val="15"/>
              </w:rPr>
              <w:t>train_end_year</w:t>
            </w:r>
          </w:p>
        </w:tc>
        <w:tc>
          <w:tcPr>
            <w:tcW w:type="dxa" w:w="3120"/>
          </w:tcPr>
          <w:p>
            <w:r>
              <w:rPr>
                <w:sz w:val="15"/>
              </w:rPr>
              <w:t>2023</w:t>
            </w:r>
          </w:p>
        </w:tc>
        <w:tc>
          <w:tcPr>
            <w:tcW w:type="dxa" w:w="3120"/>
          </w:tcPr>
          <w:p>
            <w:r>
              <w:rPr>
                <w:sz w:val="15"/>
              </w:rPr>
              <w:t>Modeling choice (holdout design)</w:t>
            </w:r>
          </w:p>
        </w:tc>
      </w:tr>
      <w:tr>
        <w:trPr>
          <w:cantSplit w:val="true"/>
        </w:trPr>
        <w:tc>
          <w:tcPr>
            <w:tcW w:type="dxa" w:w="3120"/>
          </w:tcPr>
          <w:p>
            <w:r>
              <w:rPr>
                <w:sz w:val="15"/>
              </w:rPr>
              <w:t>test_start_year</w:t>
            </w:r>
          </w:p>
        </w:tc>
        <w:tc>
          <w:tcPr>
            <w:tcW w:type="dxa" w:w="3120"/>
          </w:tcPr>
          <w:p>
            <w:r>
              <w:rPr>
                <w:sz w:val="15"/>
              </w:rPr>
              <w:t>2024</w:t>
            </w:r>
          </w:p>
        </w:tc>
        <w:tc>
          <w:tcPr>
            <w:tcW w:type="dxa" w:w="3120"/>
          </w:tcPr>
          <w:p>
            <w:r>
              <w:rPr>
                <w:sz w:val="15"/>
              </w:rPr>
              <w:t>Modeling choice (holdout design)</w:t>
            </w:r>
          </w:p>
        </w:tc>
      </w:tr>
      <w:tr>
        <w:trPr>
          <w:cantSplit w:val="true"/>
        </w:trPr>
        <w:tc>
          <w:tcPr>
            <w:tcW w:type="dxa" w:w="3120"/>
          </w:tcPr>
          <w:p>
            <w:r>
              <w:rPr>
                <w:sz w:val="15"/>
              </w:rPr>
              <w:t>degree_day_base_f</w:t>
            </w:r>
          </w:p>
        </w:tc>
        <w:tc>
          <w:tcPr>
            <w:tcW w:type="dxa" w:w="3120"/>
          </w:tcPr>
          <w:p>
            <w:r>
              <w:rPr>
                <w:sz w:val="15"/>
              </w:rPr>
              <w:t>65</w:t>
            </w:r>
          </w:p>
        </w:tc>
        <w:tc>
          <w:tcPr>
            <w:tcW w:type="dxa" w:w="3120"/>
          </w:tcPr>
          <w:p>
            <w:r>
              <w:rPr>
                <w:sz w:val="15"/>
              </w:rPr>
              <w:t>Standard 65°F degree-day convention</w:t>
            </w:r>
          </w:p>
        </w:tc>
      </w:tr>
      <w:tr>
        <w:trPr>
          <w:cantSplit w:val="true"/>
        </w:trPr>
        <w:tc>
          <w:tcPr>
            <w:tcW w:type="dxa" w:w="3120"/>
          </w:tcPr>
          <w:p>
            <w:r>
              <w:rPr>
                <w:sz w:val="15"/>
              </w:rPr>
              <w:t>dc_load_factor</w:t>
            </w:r>
          </w:p>
        </w:tc>
        <w:tc>
          <w:tcPr>
            <w:tcW w:type="dxa" w:w="3120"/>
          </w:tcPr>
          <w:p>
            <w:r>
              <w:rPr>
                <w:sz w:val="15"/>
              </w:rPr>
              <w:t>0.8</w:t>
            </w:r>
          </w:p>
        </w:tc>
        <w:tc>
          <w:tcPr>
            <w:tcW w:type="dxa" w:w="3120"/>
          </w:tcPr>
          <w:p>
            <w:r>
              <w:rPr>
                <w:sz w:val="15"/>
              </w:rPr>
              <w:t>Assumption (no published source; see Sect. 7.1 where tested); low case = 50% average utilization (Shehabi et al. 6)</w:t>
            </w:r>
          </w:p>
        </w:tc>
      </w:tr>
      <w:tr>
        <w:trPr>
          <w:cantSplit w:val="true"/>
        </w:trPr>
        <w:tc>
          <w:tcPr>
            <w:tcW w:type="dxa" w:w="3120"/>
          </w:tcPr>
          <w:p>
            <w:r>
              <w:rPr>
                <w:sz w:val="15"/>
              </w:rPr>
              <w:t>dc_pue_default</w:t>
            </w:r>
          </w:p>
        </w:tc>
        <w:tc>
          <w:tcPr>
            <w:tcW w:type="dxa" w:w="3120"/>
          </w:tcPr>
          <w:p>
            <w:r>
              <w:rPr>
                <w:sz w:val="15"/>
              </w:rPr>
              <w:t>1.3</w:t>
            </w:r>
          </w:p>
        </w:tc>
        <w:tc>
          <w:tcPr>
            <w:tcW w:type="dxa" w:w="3120"/>
          </w:tcPr>
          <w:p>
            <w:r>
              <w:rPr>
                <w:sz w:val="15"/>
              </w:rPr>
              <w:t>Assumption (applies only where a project reports IT load only)</w:t>
            </w:r>
          </w:p>
        </w:tc>
      </w:tr>
      <w:tr>
        <w:trPr>
          <w:cantSplit w:val="true"/>
        </w:trPr>
        <w:tc>
          <w:tcPr>
            <w:tcW w:type="dxa" w:w="3120"/>
          </w:tcPr>
          <w:p>
            <w:r>
              <w:rPr>
                <w:sz w:val="15"/>
              </w:rPr>
              <w:t>stage_delay_sigma</w:t>
            </w:r>
          </w:p>
        </w:tc>
        <w:tc>
          <w:tcPr>
            <w:tcW w:type="dxa" w:w="3120"/>
          </w:tcPr>
          <w:p>
            <w:r>
              <w:rPr>
                <w:sz w:val="15"/>
              </w:rPr>
              <w:t>0.5</w:t>
            </w:r>
          </w:p>
        </w:tc>
        <w:tc>
          <w:tcPr>
            <w:tcW w:type="dxa" w:w="3120"/>
          </w:tcPr>
          <w:p>
            <w:r>
              <w:rPr>
                <w:sz w:val="15"/>
              </w:rPr>
              <w:t>Assumption</w:t>
            </w:r>
          </w:p>
        </w:tc>
      </w:tr>
      <w:tr>
        <w:trPr>
          <w:cantSplit w:val="true"/>
        </w:trPr>
        <w:tc>
          <w:tcPr>
            <w:tcW w:type="dxa" w:w="3120"/>
          </w:tcPr>
          <w:p>
            <w:r>
              <w:rPr>
                <w:sz w:val="15"/>
              </w:rPr>
              <w:t>unannounced_sd</w:t>
            </w:r>
          </w:p>
        </w:tc>
        <w:tc>
          <w:tcPr>
            <w:tcW w:type="dxa" w:w="3120"/>
          </w:tcPr>
          <w:p>
            <w:r>
              <w:rPr>
                <w:sz w:val="15"/>
              </w:rPr>
              <w:t>100</w:t>
            </w:r>
          </w:p>
        </w:tc>
        <w:tc>
          <w:tcPr>
            <w:tcW w:type="dxa" w:w="3120"/>
          </w:tcPr>
          <w:p>
            <w:r>
              <w:rPr>
                <w:sz w:val="15"/>
              </w:rPr>
              <w:t>Assumption</w:t>
            </w:r>
          </w:p>
        </w:tc>
      </w:tr>
      <w:tr>
        <w:trPr>
          <w:cantSplit w:val="true"/>
        </w:trPr>
        <w:tc>
          <w:tcPr>
            <w:tcW w:type="dxa" w:w="3120"/>
          </w:tcPr>
          <w:p>
            <w:r>
              <w:rPr>
                <w:sz w:val="15"/>
              </w:rPr>
              <w:t>mc_draws</w:t>
            </w:r>
          </w:p>
        </w:tc>
        <w:tc>
          <w:tcPr>
            <w:tcW w:type="dxa" w:w="3120"/>
          </w:tcPr>
          <w:p>
            <w:r>
              <w:rPr>
                <w:sz w:val="15"/>
              </w:rPr>
              <w:t>5000</w:t>
            </w:r>
          </w:p>
        </w:tc>
        <w:tc>
          <w:tcPr>
            <w:tcW w:type="dxa" w:w="3120"/>
          </w:tcPr>
          <w:p>
            <w:r>
              <w:rPr>
                <w:sz w:val="15"/>
              </w:rPr>
              <w:t>Modeling choice</w:t>
            </w:r>
          </w:p>
        </w:tc>
      </w:tr>
      <w:tr>
        <w:trPr>
          <w:cantSplit w:val="true"/>
        </w:trPr>
        <w:tc>
          <w:tcPr>
            <w:tcW w:type="dxa" w:w="3120"/>
          </w:tcPr>
          <w:p>
            <w:r>
              <w:rPr>
                <w:sz w:val="15"/>
              </w:rPr>
              <w:t>mc_correlated</w:t>
            </w:r>
          </w:p>
        </w:tc>
        <w:tc>
          <w:tcPr>
            <w:tcW w:type="dxa" w:w="3120"/>
          </w:tcPr>
          <w:p>
            <w:r>
              <w:rPr>
                <w:sz w:val="15"/>
              </w:rPr>
              <w:t>True</w:t>
            </w:r>
          </w:p>
        </w:tc>
        <w:tc>
          <w:tcPr>
            <w:tcW w:type="dxa" w:w="3120"/>
          </w:tcPr>
          <w:p>
            <w:r>
              <w:rPr>
                <w:sz w:val="15"/>
              </w:rPr>
              <w:t>Modeling choice</w:t>
            </w:r>
          </w:p>
        </w:tc>
      </w:tr>
      <w:tr>
        <w:trPr>
          <w:cantSplit w:val="true"/>
        </w:trPr>
        <w:tc>
          <w:tcPr>
            <w:tcW w:type="dxa" w:w="3120"/>
          </w:tcPr>
          <w:p>
            <w:r>
              <w:rPr>
                <w:sz w:val="15"/>
              </w:rPr>
              <w:t>mc_common_logit_sd</w:t>
            </w:r>
          </w:p>
        </w:tc>
        <w:tc>
          <w:tcPr>
            <w:tcW w:type="dxa" w:w="3120"/>
          </w:tcPr>
          <w:p>
            <w:r>
              <w:rPr>
                <w:sz w:val="15"/>
              </w:rPr>
              <w:t>0.75</w:t>
            </w:r>
          </w:p>
        </w:tc>
        <w:tc>
          <w:tcPr>
            <w:tcW w:type="dxa" w:w="3120"/>
          </w:tcPr>
          <w:p>
            <w:r>
              <w:rPr>
                <w:sz w:val="15"/>
              </w:rPr>
              <w:t>Assumption (shared-risk spread)</w:t>
            </w:r>
          </w:p>
        </w:tc>
      </w:tr>
      <w:tr>
        <w:trPr>
          <w:cantSplit w:val="true"/>
        </w:trPr>
        <w:tc>
          <w:tcPr>
            <w:tcW w:type="dxa" w:w="3120"/>
          </w:tcPr>
          <w:p>
            <w:r>
              <w:rPr>
                <w:sz w:val="15"/>
              </w:rPr>
              <w:t>mc_common_delay_sd</w:t>
            </w:r>
          </w:p>
        </w:tc>
        <w:tc>
          <w:tcPr>
            <w:tcW w:type="dxa" w:w="3120"/>
          </w:tcPr>
          <w:p>
            <w:r>
              <w:rPr>
                <w:sz w:val="15"/>
              </w:rPr>
              <w:t>0.4</w:t>
            </w:r>
          </w:p>
        </w:tc>
        <w:tc>
          <w:tcPr>
            <w:tcW w:type="dxa" w:w="3120"/>
          </w:tcPr>
          <w:p>
            <w:r>
              <w:rPr>
                <w:sz w:val="15"/>
              </w:rPr>
              <w:t>Assumption (shared-risk spread)</w:t>
            </w:r>
          </w:p>
        </w:tc>
      </w:tr>
      <w:tr>
        <w:trPr>
          <w:cantSplit w:val="true"/>
        </w:trPr>
        <w:tc>
          <w:tcPr>
            <w:tcW w:type="dxa" w:w="3120"/>
          </w:tcPr>
          <w:p>
            <w:r>
              <w:rPr>
                <w:sz w:val="15"/>
              </w:rPr>
              <w:t>seed</w:t>
            </w:r>
          </w:p>
        </w:tc>
        <w:tc>
          <w:tcPr>
            <w:tcW w:type="dxa" w:w="3120"/>
          </w:tcPr>
          <w:p>
            <w:r>
              <w:rPr>
                <w:sz w:val="15"/>
              </w:rPr>
              <w:t>42</w:t>
            </w:r>
          </w:p>
        </w:tc>
        <w:tc>
          <w:tcPr>
            <w:tcW w:type="dxa" w:w="3120"/>
          </w:tcPr>
          <w:p>
            <w:r>
              <w:rPr>
                <w:sz w:val="15"/>
              </w:rPr>
              <w:t>Modeling choice (reproducibility)</w:t>
            </w:r>
          </w:p>
        </w:tc>
      </w:tr>
      <w:tr>
        <w:trPr>
          <w:cantSplit w:val="true"/>
        </w:trPr>
        <w:tc>
          <w:tcPr>
            <w:tcW w:type="dxa" w:w="3120"/>
          </w:tcPr>
          <w:p>
            <w:r>
              <w:rPr>
                <w:sz w:val="15"/>
              </w:rPr>
              <w:t>fpr</w:t>
            </w:r>
          </w:p>
        </w:tc>
        <w:tc>
          <w:tcPr>
            <w:tcW w:type="dxa" w:w="3120"/>
          </w:tcPr>
          <w:p>
            <w:r>
              <w:rPr>
                <w:sz w:val="15"/>
              </w:rPr>
              <w:t>0.926</w:t>
            </w:r>
          </w:p>
        </w:tc>
        <w:tc>
          <w:tcPr>
            <w:tcW w:type="dxa" w:w="3120"/>
          </w:tcPr>
          <w:p>
            <w:r>
              <w:rPr>
                <w:sz w:val="15"/>
              </w:rPr>
              <w:t>PJM Interconnection, "2027/2028 BRA FPR" (IRM 20.0%, FPR 0.9260)</w:t>
            </w:r>
          </w:p>
        </w:tc>
      </w:tr>
      <w:tr>
        <w:trPr>
          <w:cantSplit w:val="true"/>
        </w:trPr>
        <w:tc>
          <w:tcPr>
            <w:tcW w:type="dxa" w:w="3120"/>
          </w:tcPr>
          <w:p>
            <w:r>
              <w:rPr>
                <w:sz w:val="15"/>
              </w:rPr>
              <w:t>td_capex_per_kw_peak</w:t>
            </w:r>
          </w:p>
        </w:tc>
        <w:tc>
          <w:tcPr>
            <w:tcW w:type="dxa" w:w="3120"/>
          </w:tcPr>
          <w:p>
            <w:r>
              <w:rPr>
                <w:sz w:val="15"/>
              </w:rPr>
              <w:t>400</w:t>
            </w:r>
          </w:p>
        </w:tc>
        <w:tc>
          <w:tcPr>
            <w:tcW w:type="dxa" w:w="3120"/>
          </w:tcPr>
          <w:p>
            <w:r>
              <w:rPr>
                <w:sz w:val="15"/>
              </w:rPr>
              <w:t>Assumption (no published source; see Sect. 7.1 where tested)</w:t>
            </w:r>
          </w:p>
        </w:tc>
      </w:tr>
      <w:tr>
        <w:trPr>
          <w:cantSplit w:val="true"/>
        </w:trPr>
        <w:tc>
          <w:tcPr>
            <w:tcW w:type="dxa" w:w="3120"/>
          </w:tcPr>
          <w:p>
            <w:r>
              <w:rPr>
                <w:sz w:val="15"/>
              </w:rPr>
              <w:t>marginal_energy_cost_per_mwh</w:t>
            </w:r>
          </w:p>
        </w:tc>
        <w:tc>
          <w:tcPr>
            <w:tcW w:type="dxa" w:w="3120"/>
          </w:tcPr>
          <w:p>
            <w:r>
              <w:rPr>
                <w:sz w:val="15"/>
              </w:rPr>
              <w:t>50.73</w:t>
            </w:r>
          </w:p>
        </w:tc>
        <w:tc>
          <w:tcPr>
            <w:tcW w:type="dxa" w:w="3120"/>
          </w:tcPr>
          <w:p>
            <w:r>
              <w:rPr>
                <w:sz w:val="15"/>
              </w:rPr>
              <w:t>Monitoring Analytics (2025 PJM load-weighted average LMP)</w:t>
            </w:r>
          </w:p>
        </w:tc>
      </w:tr>
      <w:tr>
        <w:trPr>
          <w:cantSplit w:val="true"/>
        </w:trPr>
        <w:tc>
          <w:tcPr>
            <w:tcW w:type="dxa" w:w="3120"/>
          </w:tcPr>
          <w:p>
            <w:r>
              <w:rPr>
                <w:sz w:val="15"/>
              </w:rPr>
              <w:t>inflation</w:t>
            </w:r>
          </w:p>
        </w:tc>
        <w:tc>
          <w:tcPr>
            <w:tcW w:type="dxa" w:w="3120"/>
          </w:tcPr>
          <w:p>
            <w:r>
              <w:rPr>
                <w:sz w:val="15"/>
              </w:rPr>
              <w:t>0.025</w:t>
            </w:r>
          </w:p>
        </w:tc>
        <w:tc>
          <w:tcPr>
            <w:tcW w:type="dxa" w:w="3120"/>
          </w:tcPr>
          <w:p>
            <w:r>
              <w:rPr>
                <w:sz w:val="15"/>
              </w:rPr>
              <w:t>Assumption (no published source; see Sect. 7.1 where tested)</w:t>
            </w:r>
          </w:p>
        </w:tc>
      </w:tr>
      <w:tr>
        <w:trPr>
          <w:cantSplit w:val="true"/>
        </w:trPr>
        <w:tc>
          <w:tcPr>
            <w:tcW w:type="dxa" w:w="3120"/>
          </w:tcPr>
          <w:p>
            <w:r>
              <w:rPr>
                <w:sz w:val="15"/>
              </w:rPr>
              <w:t>equity_share</w:t>
            </w:r>
          </w:p>
        </w:tc>
        <w:tc>
          <w:tcPr>
            <w:tcW w:type="dxa" w:w="3120"/>
          </w:tcPr>
          <w:p>
            <w:r>
              <w:rPr>
                <w:sz w:val="15"/>
              </w:rPr>
              <w:t>0.52035</w:t>
            </w:r>
          </w:p>
        </w:tc>
        <w:tc>
          <w:tcPr>
            <w:tcW w:type="dxa" w:w="3120"/>
          </w:tcPr>
          <w:p>
            <w:r>
              <w:rPr>
                <w:sz w:val="15"/>
              </w:rPr>
              <w:t>Virginia State Corporation Commission (52.035%)</w:t>
            </w:r>
          </w:p>
        </w:tc>
      </w:tr>
      <w:tr>
        <w:trPr>
          <w:cantSplit w:val="true"/>
        </w:trPr>
        <w:tc>
          <w:tcPr>
            <w:tcW w:type="dxa" w:w="3120"/>
          </w:tcPr>
          <w:p>
            <w:r>
              <w:rPr>
                <w:sz w:val="15"/>
              </w:rPr>
              <w:t>roe</w:t>
            </w:r>
          </w:p>
        </w:tc>
        <w:tc>
          <w:tcPr>
            <w:tcW w:type="dxa" w:w="3120"/>
          </w:tcPr>
          <w:p>
            <w:r>
              <w:rPr>
                <w:sz w:val="15"/>
              </w:rPr>
              <w:t>0.098</w:t>
            </w:r>
          </w:p>
        </w:tc>
        <w:tc>
          <w:tcPr>
            <w:tcW w:type="dxa" w:w="3120"/>
          </w:tcPr>
          <w:p>
            <w:r>
              <w:rPr>
                <w:sz w:val="15"/>
              </w:rPr>
              <w:t>Virginia State Corporation Commission; Pampaloni (9.8%)</w:t>
            </w:r>
          </w:p>
        </w:tc>
      </w:tr>
      <w:tr>
        <w:trPr>
          <w:cantSplit w:val="true"/>
        </w:trPr>
        <w:tc>
          <w:tcPr>
            <w:tcW w:type="dxa" w:w="3120"/>
          </w:tcPr>
          <w:p>
            <w:r>
              <w:rPr>
                <w:sz w:val="15"/>
              </w:rPr>
              <w:t>tax_rate</w:t>
            </w:r>
          </w:p>
        </w:tc>
        <w:tc>
          <w:tcPr>
            <w:tcW w:type="dxa" w:w="3120"/>
          </w:tcPr>
          <w:p>
            <w:r>
              <w:rPr>
                <w:sz w:val="15"/>
              </w:rPr>
              <w:t>0.257</w:t>
            </w:r>
          </w:p>
        </w:tc>
        <w:tc>
          <w:tcPr>
            <w:tcW w:type="dxa" w:w="3120"/>
          </w:tcPr>
          <w:p>
            <w:r>
              <w:rPr>
                <w:sz w:val="15"/>
              </w:rPr>
              <w:t>Statutory rates: 21% federal + 6% Virginia</w:t>
            </w:r>
          </w:p>
        </w:tc>
      </w:tr>
      <w:tr>
        <w:trPr>
          <w:cantSplit w:val="true"/>
        </w:trPr>
        <w:tc>
          <w:tcPr>
            <w:tcW w:type="dxa" w:w="3120"/>
          </w:tcPr>
          <w:p>
            <w:r>
              <w:rPr>
                <w:sz w:val="15"/>
              </w:rPr>
              <w:t>cost_of_debt</w:t>
            </w:r>
          </w:p>
        </w:tc>
        <w:tc>
          <w:tcPr>
            <w:tcW w:type="dxa" w:w="3120"/>
          </w:tcPr>
          <w:p>
            <w:r>
              <w:rPr>
                <w:sz w:val="15"/>
              </w:rPr>
              <w:t>0.05</w:t>
            </w:r>
          </w:p>
        </w:tc>
        <w:tc>
          <w:tcPr>
            <w:tcW w:type="dxa" w:w="3120"/>
          </w:tcPr>
          <w:p>
            <w:r>
              <w:rPr>
                <w:sz w:val="15"/>
              </w:rPr>
              <w:t>Assumption (no published source; see Sect. 7.1 where tested)</w:t>
            </w:r>
          </w:p>
        </w:tc>
      </w:tr>
      <w:tr>
        <w:trPr>
          <w:cantSplit w:val="true"/>
        </w:trPr>
        <w:tc>
          <w:tcPr>
            <w:tcW w:type="dxa" w:w="3120"/>
          </w:tcPr>
          <w:p>
            <w:r>
              <w:rPr>
                <w:sz w:val="15"/>
              </w:rPr>
              <w:t>ciac_share</w:t>
            </w:r>
          </w:p>
        </w:tc>
        <w:tc>
          <w:tcPr>
            <w:tcW w:type="dxa" w:w="3120"/>
          </w:tcPr>
          <w:p>
            <w:r>
              <w:rPr>
                <w:sz w:val="15"/>
              </w:rPr>
              <w:t>0.05</w:t>
            </w:r>
          </w:p>
        </w:tc>
        <w:tc>
          <w:tcPr>
            <w:tcW w:type="dxa" w:w="3120"/>
          </w:tcPr>
          <w:p>
            <w:r>
              <w:rPr>
                <w:sz w:val="15"/>
              </w:rPr>
              <w:t>Assumption (no published source; see Sect. 7.1 where tested)</w:t>
            </w:r>
          </w:p>
        </w:tc>
      </w:tr>
      <w:tr>
        <w:trPr>
          <w:cantSplit w:val="true"/>
        </w:trPr>
        <w:tc>
          <w:tcPr>
            <w:tcW w:type="dxa" w:w="3120"/>
          </w:tcPr>
          <w:p>
            <w:r>
              <w:rPr>
                <w:sz w:val="15"/>
              </w:rPr>
              <w:t>tariff_ciac_share</w:t>
            </w:r>
          </w:p>
        </w:tc>
        <w:tc>
          <w:tcPr>
            <w:tcW w:type="dxa" w:w="3120"/>
          </w:tcPr>
          <w:p>
            <w:r>
              <w:rPr>
                <w:sz w:val="15"/>
              </w:rPr>
              <w:t>0.25</w:t>
            </w:r>
          </w:p>
        </w:tc>
        <w:tc>
          <w:tcPr>
            <w:tcW w:type="dxa" w:w="3120"/>
          </w:tcPr>
          <w:p>
            <w:r>
              <w:rPr>
                <w:sz w:val="15"/>
              </w:rPr>
              <w:t>Assumption informed by DiGangi, "Dominion Ordered" (direct-assignment order)</w:t>
            </w:r>
          </w:p>
        </w:tc>
      </w:tr>
      <w:tr>
        <w:trPr>
          <w:cantSplit w:val="true"/>
        </w:trPr>
        <w:tc>
          <w:tcPr>
            <w:tcW w:type="dxa" w:w="3120"/>
          </w:tcPr>
          <w:p>
            <w:r>
              <w:rPr>
                <w:sz w:val="15"/>
              </w:rPr>
              <w:t>retail_rate_2024_c_kwh</w:t>
            </w:r>
          </w:p>
        </w:tc>
        <w:tc>
          <w:tcPr>
            <w:tcW w:type="dxa" w:w="3120"/>
          </w:tcPr>
          <w:p>
            <w:r>
              <w:rPr>
                <w:sz w:val="15"/>
              </w:rPr>
              <w:t>10.62</w:t>
            </w:r>
          </w:p>
        </w:tc>
        <w:tc>
          <w:tcPr>
            <w:tcW w:type="dxa" w:w="3120"/>
          </w:tcPr>
          <w:p>
            <w:r>
              <w:rPr>
                <w:sz w:val="15"/>
              </w:rPr>
              <w:t>U.S. Energy Information Administration, "Virginia Electricity Profile" (statewide proxy)</w:t>
            </w:r>
          </w:p>
        </w:tc>
      </w:tr>
      <w:tr>
        <w:trPr>
          <w:cantSplit w:val="true"/>
        </w:trPr>
        <w:tc>
          <w:tcPr>
            <w:tcW w:type="dxa" w:w="3120"/>
          </w:tcPr>
          <w:p>
            <w:r>
              <w:rPr>
                <w:sz w:val="15"/>
              </w:rPr>
              <w:t>stranded_year</w:t>
            </w:r>
          </w:p>
        </w:tc>
        <w:tc>
          <w:tcPr>
            <w:tcW w:type="dxa" w:w="3120"/>
          </w:tcPr>
          <w:p>
            <w:r>
              <w:rPr>
                <w:sz w:val="15"/>
              </w:rPr>
              <w:t>2030</w:t>
            </w:r>
          </w:p>
        </w:tc>
        <w:tc>
          <w:tcPr>
            <w:tcW w:type="dxa" w:w="3120"/>
          </w:tcPr>
          <w:p>
            <w:r>
              <w:rPr>
                <w:sz w:val="15"/>
              </w:rPr>
              <w:t>Stress-test design</w:t>
            </w:r>
          </w:p>
        </w:tc>
      </w:tr>
      <w:tr>
        <w:trPr>
          <w:cantSplit w:val="true"/>
        </w:trPr>
        <w:tc>
          <w:tcPr>
            <w:tcW w:type="dxa" w:w="3120"/>
          </w:tcPr>
          <w:p>
            <w:r>
              <w:rPr>
                <w:sz w:val="15"/>
              </w:rPr>
              <w:t>stranded_share</w:t>
            </w:r>
          </w:p>
        </w:tc>
        <w:tc>
          <w:tcPr>
            <w:tcW w:type="dxa" w:w="3120"/>
          </w:tcPr>
          <w:p>
            <w:r>
              <w:rPr>
                <w:sz w:val="15"/>
              </w:rPr>
              <w:t>0.25</w:t>
            </w:r>
          </w:p>
        </w:tc>
        <w:tc>
          <w:tcPr>
            <w:tcW w:type="dxa" w:w="3120"/>
          </w:tcPr>
          <w:p>
            <w:r>
              <w:rPr>
                <w:sz w:val="15"/>
              </w:rPr>
              <w:t>Stress-test design</w:t>
            </w:r>
          </w:p>
        </w:tc>
      </w:tr>
      <w:tr>
        <w:trPr>
          <w:cantSplit w:val="true"/>
        </w:trPr>
        <w:tc>
          <w:tcPr>
            <w:tcW w:type="dxa" w:w="3120"/>
          </w:tcPr>
          <w:p>
            <w:r>
              <w:rPr>
                <w:sz w:val="15"/>
              </w:rPr>
              <w:t>gs5_min_td</w:t>
            </w:r>
          </w:p>
        </w:tc>
        <w:tc>
          <w:tcPr>
            <w:tcW w:type="dxa" w:w="3120"/>
          </w:tcPr>
          <w:p>
            <w:r>
              <w:rPr>
                <w:sz w:val="15"/>
              </w:rPr>
              <w:t>0.85</w:t>
            </w:r>
          </w:p>
        </w:tc>
        <w:tc>
          <w:tcPr>
            <w:tcW w:type="dxa" w:w="3120"/>
          </w:tcPr>
          <w:p>
            <w:r>
              <w:rPr>
                <w:sz w:val="15"/>
              </w:rPr>
              <w:t>Pampaloni (GS-5: 85% T&amp;D, 60% generation)</w:t>
            </w:r>
          </w:p>
        </w:tc>
      </w:tr>
      <w:tr>
        <w:trPr>
          <w:cantSplit w:val="true"/>
        </w:trPr>
        <w:tc>
          <w:tcPr>
            <w:tcW w:type="dxa" w:w="3120"/>
          </w:tcPr>
          <w:p>
            <w:r>
              <w:rPr>
                <w:sz w:val="15"/>
              </w:rPr>
              <w:t>gs5_min_gen</w:t>
            </w:r>
          </w:p>
        </w:tc>
        <w:tc>
          <w:tcPr>
            <w:tcW w:type="dxa" w:w="3120"/>
          </w:tcPr>
          <w:p>
            <w:r>
              <w:rPr>
                <w:sz w:val="15"/>
              </w:rPr>
              <w:t>0.6</w:t>
            </w:r>
          </w:p>
        </w:tc>
        <w:tc>
          <w:tcPr>
            <w:tcW w:type="dxa" w:w="3120"/>
          </w:tcPr>
          <w:p>
            <w:r>
              <w:rPr>
                <w:sz w:val="15"/>
              </w:rPr>
              <w:t>Pampaloni (GS-5: 85% T&amp;D, 60% generation)</w:t>
            </w:r>
          </w:p>
        </w:tc>
      </w:tr>
      <w:tr>
        <w:trPr>
          <w:cantSplit w:val="true"/>
        </w:trPr>
        <w:tc>
          <w:tcPr>
            <w:tcW w:type="dxa" w:w="3120"/>
          </w:tcPr>
          <w:p>
            <w:r>
              <w:rPr>
                <w:sz w:val="15"/>
              </w:rPr>
              <w:t>report_years</w:t>
            </w:r>
          </w:p>
        </w:tc>
        <w:tc>
          <w:tcPr>
            <w:tcW w:type="dxa" w:w="3120"/>
          </w:tcPr>
          <w:p>
            <w:r>
              <w:rPr>
                <w:sz w:val="15"/>
              </w:rPr>
              <w:t>[2030, 2035]</w:t>
            </w:r>
          </w:p>
        </w:tc>
        <w:tc>
          <w:tcPr>
            <w:tcW w:type="dxa" w:w="3120"/>
          </w:tcPr>
          <w:p>
            <w:r>
              <w:rPr>
                <w:sz w:val="15"/>
              </w:rPr>
              <w:t>Modeling choice</w:t>
            </w:r>
          </w:p>
        </w:tc>
      </w:tr>
      <w:tr>
        <w:trPr>
          <w:cantSplit w:val="true"/>
        </w:trPr>
        <w:tc>
          <w:tcPr>
            <w:tcW w:type="dxa" w:w="3120"/>
          </w:tcPr>
          <w:p>
            <w:r>
              <w:rPr>
                <w:sz w:val="15"/>
              </w:rPr>
              <w:t>stage_prob.low.announced</w:t>
            </w:r>
          </w:p>
        </w:tc>
        <w:tc>
          <w:tcPr>
            <w:tcW w:type="dxa" w:w="3120"/>
          </w:tcPr>
          <w:p>
            <w:r>
              <w:rPr>
                <w:sz w:val="15"/>
              </w:rPr>
              <w:t>0.1</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stage_prob.low.zoned</w:t>
            </w:r>
          </w:p>
        </w:tc>
        <w:tc>
          <w:tcPr>
            <w:tcW w:type="dxa" w:w="3120"/>
          </w:tcPr>
          <w:p>
            <w:r>
              <w:rPr>
                <w:sz w:val="15"/>
              </w:rPr>
              <w:t>0.25</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stage_prob.low.interconnection_request</w:t>
            </w:r>
          </w:p>
        </w:tc>
        <w:tc>
          <w:tcPr>
            <w:tcW w:type="dxa" w:w="3120"/>
          </w:tcPr>
          <w:p>
            <w:r>
              <w:rPr>
                <w:sz w:val="15"/>
              </w:rPr>
              <w:t>0.35</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stage_prob.low.esa_signed</w:t>
            </w:r>
          </w:p>
        </w:tc>
        <w:tc>
          <w:tcPr>
            <w:tcW w:type="dxa" w:w="3120"/>
          </w:tcPr>
          <w:p>
            <w:r>
              <w:rPr>
                <w:sz w:val="15"/>
              </w:rPr>
              <w:t>0.65</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stage_prob.low.construction</w:t>
            </w:r>
          </w:p>
        </w:tc>
        <w:tc>
          <w:tcPr>
            <w:tcW w:type="dxa" w:w="3120"/>
          </w:tcPr>
          <w:p>
            <w:r>
              <w:rPr>
                <w:sz w:val="15"/>
              </w:rPr>
              <w:t>0.85</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stage_prob.low.energized</w:t>
            </w:r>
          </w:p>
        </w:tc>
        <w:tc>
          <w:tcPr>
            <w:tcW w:type="dxa" w:w="3120"/>
          </w:tcPr>
          <w:p>
            <w:r>
              <w:rPr>
                <w:sz w:val="15"/>
              </w:rPr>
              <w:t>1.0</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stage_prob.base.announced</w:t>
            </w:r>
          </w:p>
        </w:tc>
        <w:tc>
          <w:tcPr>
            <w:tcW w:type="dxa" w:w="3120"/>
          </w:tcPr>
          <w:p>
            <w:r>
              <w:rPr>
                <w:sz w:val="15"/>
              </w:rPr>
              <w:t>0.2</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stage_prob.base.zoned</w:t>
            </w:r>
          </w:p>
        </w:tc>
        <w:tc>
          <w:tcPr>
            <w:tcW w:type="dxa" w:w="3120"/>
          </w:tcPr>
          <w:p>
            <w:r>
              <w:rPr>
                <w:sz w:val="15"/>
              </w:rPr>
              <w:t>0.4</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stage_prob.base.interconnection_request</w:t>
            </w:r>
          </w:p>
        </w:tc>
        <w:tc>
          <w:tcPr>
            <w:tcW w:type="dxa" w:w="3120"/>
          </w:tcPr>
          <w:p>
            <w:r>
              <w:rPr>
                <w:sz w:val="15"/>
              </w:rPr>
              <w:t>0.5</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stage_prob.base.esa_signed</w:t>
            </w:r>
          </w:p>
        </w:tc>
        <w:tc>
          <w:tcPr>
            <w:tcW w:type="dxa" w:w="3120"/>
          </w:tcPr>
          <w:p>
            <w:r>
              <w:rPr>
                <w:sz w:val="15"/>
              </w:rPr>
              <w:t>0.8</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stage_prob.base.construction</w:t>
            </w:r>
          </w:p>
        </w:tc>
        <w:tc>
          <w:tcPr>
            <w:tcW w:type="dxa" w:w="3120"/>
          </w:tcPr>
          <w:p>
            <w:r>
              <w:rPr>
                <w:sz w:val="15"/>
              </w:rPr>
              <w:t>0.92</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stage_prob.base.energized</w:t>
            </w:r>
          </w:p>
        </w:tc>
        <w:tc>
          <w:tcPr>
            <w:tcW w:type="dxa" w:w="3120"/>
          </w:tcPr>
          <w:p>
            <w:r>
              <w:rPr>
                <w:sz w:val="15"/>
              </w:rPr>
              <w:t>1.0</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stage_prob.high.announced</w:t>
            </w:r>
          </w:p>
        </w:tc>
        <w:tc>
          <w:tcPr>
            <w:tcW w:type="dxa" w:w="3120"/>
          </w:tcPr>
          <w:p>
            <w:r>
              <w:rPr>
                <w:sz w:val="15"/>
              </w:rPr>
              <w:t>0.35</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stage_prob.high.zoned</w:t>
            </w:r>
          </w:p>
        </w:tc>
        <w:tc>
          <w:tcPr>
            <w:tcW w:type="dxa" w:w="3120"/>
          </w:tcPr>
          <w:p>
            <w:r>
              <w:rPr>
                <w:sz w:val="15"/>
              </w:rPr>
              <w:t>0.55</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stage_prob.high.interconnection_request</w:t>
            </w:r>
          </w:p>
        </w:tc>
        <w:tc>
          <w:tcPr>
            <w:tcW w:type="dxa" w:w="3120"/>
          </w:tcPr>
          <w:p>
            <w:r>
              <w:rPr>
                <w:sz w:val="15"/>
              </w:rPr>
              <w:t>0.65</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stage_prob.high.esa_signed</w:t>
            </w:r>
          </w:p>
        </w:tc>
        <w:tc>
          <w:tcPr>
            <w:tcW w:type="dxa" w:w="3120"/>
          </w:tcPr>
          <w:p>
            <w:r>
              <w:rPr>
                <w:sz w:val="15"/>
              </w:rPr>
              <w:t>0.9</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stage_prob.high.construction</w:t>
            </w:r>
          </w:p>
        </w:tc>
        <w:tc>
          <w:tcPr>
            <w:tcW w:type="dxa" w:w="3120"/>
          </w:tcPr>
          <w:p>
            <w:r>
              <w:rPr>
                <w:sz w:val="15"/>
              </w:rPr>
              <w:t>0.97</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stage_prob.high.energized</w:t>
            </w:r>
          </w:p>
        </w:tc>
        <w:tc>
          <w:tcPr>
            <w:tcW w:type="dxa" w:w="3120"/>
          </w:tcPr>
          <w:p>
            <w:r>
              <w:rPr>
                <w:sz w:val="15"/>
              </w:rPr>
              <w:t>1.0</w:t>
            </w:r>
          </w:p>
        </w:tc>
        <w:tc>
          <w:tcPr>
            <w:tcW w:type="dxa" w:w="3120"/>
          </w:tcPr>
          <w:p>
            <w:r>
              <w:rPr>
                <w:sz w:val="15"/>
              </w:rPr>
              <w:t>Rand et al.; Martucci; "Dominion Q2 2026 Slides"; Pampaloni; Zhang and Siddiki (Sect. 5.2)</w:t>
            </w:r>
          </w:p>
        </w:tc>
      </w:tr>
      <w:tr>
        <w:trPr>
          <w:cantSplit w:val="true"/>
        </w:trPr>
        <w:tc>
          <w:tcPr>
            <w:tcW w:type="dxa" w:w="3120"/>
          </w:tcPr>
          <w:p>
            <w:r>
              <w:rPr>
                <w:sz w:val="15"/>
              </w:rPr>
              <w:t>stage_delay_median_yrs.announced</w:t>
            </w:r>
          </w:p>
        </w:tc>
        <w:tc>
          <w:tcPr>
            <w:tcW w:type="dxa" w:w="3120"/>
          </w:tcPr>
          <w:p>
            <w:r>
              <w:rPr>
                <w:sz w:val="15"/>
              </w:rPr>
              <w:t>2.0</w:t>
            </w:r>
          </w:p>
        </w:tc>
        <w:tc>
          <w:tcPr>
            <w:tcW w:type="dxa" w:w="3120"/>
          </w:tcPr>
          <w:p>
            <w:r>
              <w:rPr>
                <w:sz w:val="15"/>
              </w:rPr>
              <w:t>Assumption</w:t>
            </w:r>
          </w:p>
        </w:tc>
      </w:tr>
      <w:tr>
        <w:trPr>
          <w:cantSplit w:val="true"/>
        </w:trPr>
        <w:tc>
          <w:tcPr>
            <w:tcW w:type="dxa" w:w="3120"/>
          </w:tcPr>
          <w:p>
            <w:r>
              <w:rPr>
                <w:sz w:val="15"/>
              </w:rPr>
              <w:t>stage_delay_median_yrs.zoned</w:t>
            </w:r>
          </w:p>
        </w:tc>
        <w:tc>
          <w:tcPr>
            <w:tcW w:type="dxa" w:w="3120"/>
          </w:tcPr>
          <w:p>
            <w:r>
              <w:rPr>
                <w:sz w:val="15"/>
              </w:rPr>
              <w:t>1.5</w:t>
            </w:r>
          </w:p>
        </w:tc>
        <w:tc>
          <w:tcPr>
            <w:tcW w:type="dxa" w:w="3120"/>
          </w:tcPr>
          <w:p>
            <w:r>
              <w:rPr>
                <w:sz w:val="15"/>
              </w:rPr>
              <w:t>Assumption</w:t>
            </w:r>
          </w:p>
        </w:tc>
      </w:tr>
      <w:tr>
        <w:trPr>
          <w:cantSplit w:val="true"/>
        </w:trPr>
        <w:tc>
          <w:tcPr>
            <w:tcW w:type="dxa" w:w="3120"/>
          </w:tcPr>
          <w:p>
            <w:r>
              <w:rPr>
                <w:sz w:val="15"/>
              </w:rPr>
              <w:t>stage_delay_median_yrs.interconnection_request</w:t>
            </w:r>
          </w:p>
        </w:tc>
        <w:tc>
          <w:tcPr>
            <w:tcW w:type="dxa" w:w="3120"/>
          </w:tcPr>
          <w:p>
            <w:r>
              <w:rPr>
                <w:sz w:val="15"/>
              </w:rPr>
              <w:t>1.5</w:t>
            </w:r>
          </w:p>
        </w:tc>
        <w:tc>
          <w:tcPr>
            <w:tcW w:type="dxa" w:w="3120"/>
          </w:tcPr>
          <w:p>
            <w:r>
              <w:rPr>
                <w:sz w:val="15"/>
              </w:rPr>
              <w:t>Assumption</w:t>
            </w:r>
          </w:p>
        </w:tc>
      </w:tr>
      <w:tr>
        <w:trPr>
          <w:cantSplit w:val="true"/>
        </w:trPr>
        <w:tc>
          <w:tcPr>
            <w:tcW w:type="dxa" w:w="3120"/>
          </w:tcPr>
          <w:p>
            <w:r>
              <w:rPr>
                <w:sz w:val="15"/>
              </w:rPr>
              <w:t>stage_delay_median_yrs.esa_signed</w:t>
            </w:r>
          </w:p>
        </w:tc>
        <w:tc>
          <w:tcPr>
            <w:tcW w:type="dxa" w:w="3120"/>
          </w:tcPr>
          <w:p>
            <w:r>
              <w:rPr>
                <w:sz w:val="15"/>
              </w:rPr>
              <w:t>1.0</w:t>
            </w:r>
          </w:p>
        </w:tc>
        <w:tc>
          <w:tcPr>
            <w:tcW w:type="dxa" w:w="3120"/>
          </w:tcPr>
          <w:p>
            <w:r>
              <w:rPr>
                <w:sz w:val="15"/>
              </w:rPr>
              <w:t>Assumption</w:t>
            </w:r>
          </w:p>
        </w:tc>
      </w:tr>
      <w:tr>
        <w:trPr>
          <w:cantSplit w:val="true"/>
        </w:trPr>
        <w:tc>
          <w:tcPr>
            <w:tcW w:type="dxa" w:w="3120"/>
          </w:tcPr>
          <w:p>
            <w:r>
              <w:rPr>
                <w:sz w:val="15"/>
              </w:rPr>
              <w:t>stage_delay_median_yrs.construction</w:t>
            </w:r>
          </w:p>
        </w:tc>
        <w:tc>
          <w:tcPr>
            <w:tcW w:type="dxa" w:w="3120"/>
          </w:tcPr>
          <w:p>
            <w:r>
              <w:rPr>
                <w:sz w:val="15"/>
              </w:rPr>
              <w:t>0.5</w:t>
            </w:r>
          </w:p>
        </w:tc>
        <w:tc>
          <w:tcPr>
            <w:tcW w:type="dxa" w:w="3120"/>
          </w:tcPr>
          <w:p>
            <w:r>
              <w:rPr>
                <w:sz w:val="15"/>
              </w:rPr>
              <w:t>Assumption</w:t>
            </w:r>
          </w:p>
        </w:tc>
      </w:tr>
      <w:tr>
        <w:trPr>
          <w:cantSplit w:val="true"/>
        </w:trPr>
        <w:tc>
          <w:tcPr>
            <w:tcW w:type="dxa" w:w="3120"/>
          </w:tcPr>
          <w:p>
            <w:r>
              <w:rPr>
                <w:sz w:val="15"/>
              </w:rPr>
              <w:t>stage_delay_median_yrs.energized</w:t>
            </w:r>
          </w:p>
        </w:tc>
        <w:tc>
          <w:tcPr>
            <w:tcW w:type="dxa" w:w="3120"/>
          </w:tcPr>
          <w:p>
            <w:r>
              <w:rPr>
                <w:sz w:val="15"/>
              </w:rPr>
              <w:t>0.0</w:t>
            </w:r>
          </w:p>
        </w:tc>
        <w:tc>
          <w:tcPr>
            <w:tcW w:type="dxa" w:w="3120"/>
          </w:tcPr>
          <w:p>
            <w:r>
              <w:rPr>
                <w:sz w:val="15"/>
              </w:rPr>
              <w:t>Assumption</w:t>
            </w:r>
          </w:p>
        </w:tc>
      </w:tr>
      <w:tr>
        <w:trPr>
          <w:cantSplit w:val="true"/>
        </w:trPr>
        <w:tc>
          <w:tcPr>
            <w:tcW w:type="dxa" w:w="3120"/>
          </w:tcPr>
          <w:p>
            <w:r>
              <w:rPr>
                <w:sz w:val="15"/>
              </w:rPr>
              <w:t>stage_ramp_yrs.announced</w:t>
            </w:r>
          </w:p>
        </w:tc>
        <w:tc>
          <w:tcPr>
            <w:tcW w:type="dxa" w:w="3120"/>
          </w:tcPr>
          <w:p>
            <w:r>
              <w:rPr>
                <w:sz w:val="15"/>
              </w:rPr>
              <w:t>4</w:t>
            </w:r>
          </w:p>
        </w:tc>
        <w:tc>
          <w:tcPr>
            <w:tcW w:type="dxa" w:w="3120"/>
          </w:tcPr>
          <w:p>
            <w:r>
              <w:rPr>
                <w:sz w:val="15"/>
              </w:rPr>
              <w:t>Assumption</w:t>
            </w:r>
          </w:p>
        </w:tc>
      </w:tr>
      <w:tr>
        <w:trPr>
          <w:cantSplit w:val="true"/>
        </w:trPr>
        <w:tc>
          <w:tcPr>
            <w:tcW w:type="dxa" w:w="3120"/>
          </w:tcPr>
          <w:p>
            <w:r>
              <w:rPr>
                <w:sz w:val="15"/>
              </w:rPr>
              <w:t>stage_ramp_yrs.zoned</w:t>
            </w:r>
          </w:p>
        </w:tc>
        <w:tc>
          <w:tcPr>
            <w:tcW w:type="dxa" w:w="3120"/>
          </w:tcPr>
          <w:p>
            <w:r>
              <w:rPr>
                <w:sz w:val="15"/>
              </w:rPr>
              <w:t>4</w:t>
            </w:r>
          </w:p>
        </w:tc>
        <w:tc>
          <w:tcPr>
            <w:tcW w:type="dxa" w:w="3120"/>
          </w:tcPr>
          <w:p>
            <w:r>
              <w:rPr>
                <w:sz w:val="15"/>
              </w:rPr>
              <w:t>Assumption</w:t>
            </w:r>
          </w:p>
        </w:tc>
      </w:tr>
      <w:tr>
        <w:trPr>
          <w:cantSplit w:val="true"/>
        </w:trPr>
        <w:tc>
          <w:tcPr>
            <w:tcW w:type="dxa" w:w="3120"/>
          </w:tcPr>
          <w:p>
            <w:r>
              <w:rPr>
                <w:sz w:val="15"/>
              </w:rPr>
              <w:t>stage_ramp_yrs.interconnection_request</w:t>
            </w:r>
          </w:p>
        </w:tc>
        <w:tc>
          <w:tcPr>
            <w:tcW w:type="dxa" w:w="3120"/>
          </w:tcPr>
          <w:p>
            <w:r>
              <w:rPr>
                <w:sz w:val="15"/>
              </w:rPr>
              <w:t>3</w:t>
            </w:r>
          </w:p>
        </w:tc>
        <w:tc>
          <w:tcPr>
            <w:tcW w:type="dxa" w:w="3120"/>
          </w:tcPr>
          <w:p>
            <w:r>
              <w:rPr>
                <w:sz w:val="15"/>
              </w:rPr>
              <w:t>Assumption</w:t>
            </w:r>
          </w:p>
        </w:tc>
      </w:tr>
      <w:tr>
        <w:trPr>
          <w:cantSplit w:val="true"/>
        </w:trPr>
        <w:tc>
          <w:tcPr>
            <w:tcW w:type="dxa" w:w="3120"/>
          </w:tcPr>
          <w:p>
            <w:r>
              <w:rPr>
                <w:sz w:val="15"/>
              </w:rPr>
              <w:t>stage_ramp_yrs.esa_signed</w:t>
            </w:r>
          </w:p>
        </w:tc>
        <w:tc>
          <w:tcPr>
            <w:tcW w:type="dxa" w:w="3120"/>
          </w:tcPr>
          <w:p>
            <w:r>
              <w:rPr>
                <w:sz w:val="15"/>
              </w:rPr>
              <w:t>3</w:t>
            </w:r>
          </w:p>
        </w:tc>
        <w:tc>
          <w:tcPr>
            <w:tcW w:type="dxa" w:w="3120"/>
          </w:tcPr>
          <w:p>
            <w:r>
              <w:rPr>
                <w:sz w:val="15"/>
              </w:rPr>
              <w:t>Assumption</w:t>
            </w:r>
          </w:p>
        </w:tc>
      </w:tr>
      <w:tr>
        <w:trPr>
          <w:cantSplit w:val="true"/>
        </w:trPr>
        <w:tc>
          <w:tcPr>
            <w:tcW w:type="dxa" w:w="3120"/>
          </w:tcPr>
          <w:p>
            <w:r>
              <w:rPr>
                <w:sz w:val="15"/>
              </w:rPr>
              <w:t>stage_ramp_yrs.construction</w:t>
            </w:r>
          </w:p>
        </w:tc>
        <w:tc>
          <w:tcPr>
            <w:tcW w:type="dxa" w:w="3120"/>
          </w:tcPr>
          <w:p>
            <w:r>
              <w:rPr>
                <w:sz w:val="15"/>
              </w:rPr>
              <w:t>3</w:t>
            </w:r>
          </w:p>
        </w:tc>
        <w:tc>
          <w:tcPr>
            <w:tcW w:type="dxa" w:w="3120"/>
          </w:tcPr>
          <w:p>
            <w:r>
              <w:rPr>
                <w:sz w:val="15"/>
              </w:rPr>
              <w:t>Assumption</w:t>
            </w:r>
          </w:p>
        </w:tc>
      </w:tr>
      <w:tr>
        <w:trPr>
          <w:cantSplit w:val="true"/>
        </w:trPr>
        <w:tc>
          <w:tcPr>
            <w:tcW w:type="dxa" w:w="3120"/>
          </w:tcPr>
          <w:p>
            <w:r>
              <w:rPr>
                <w:sz w:val="15"/>
              </w:rPr>
              <w:t>stage_ramp_yrs.energized</w:t>
            </w:r>
          </w:p>
        </w:tc>
        <w:tc>
          <w:tcPr>
            <w:tcW w:type="dxa" w:w="3120"/>
          </w:tcPr>
          <w:p>
            <w:r>
              <w:rPr>
                <w:sz w:val="15"/>
              </w:rPr>
              <w:t>1</w:t>
            </w:r>
          </w:p>
        </w:tc>
        <w:tc>
          <w:tcPr>
            <w:tcW w:type="dxa" w:w="3120"/>
          </w:tcPr>
          <w:p>
            <w:r>
              <w:rPr>
                <w:sz w:val="15"/>
              </w:rPr>
              <w:t>Assumption</w:t>
            </w:r>
          </w:p>
        </w:tc>
      </w:tr>
      <w:tr>
        <w:trPr>
          <w:cantSplit w:val="true"/>
        </w:trPr>
        <w:tc>
          <w:tcPr>
            <w:tcW w:type="dxa" w:w="3120"/>
          </w:tcPr>
          <w:p>
            <w:r>
              <w:rPr>
                <w:sz w:val="15"/>
              </w:rPr>
              <w:t>unannounced_mw_per_yr.low</w:t>
            </w:r>
          </w:p>
        </w:tc>
        <w:tc>
          <w:tcPr>
            <w:tcW w:type="dxa" w:w="3120"/>
          </w:tcPr>
          <w:p>
            <w:r>
              <w:rPr>
                <w:sz w:val="15"/>
              </w:rPr>
              <w:t>0</w:t>
            </w:r>
          </w:p>
        </w:tc>
        <w:tc>
          <w:tcPr>
            <w:tcW w:type="dxa" w:w="3120"/>
          </w:tcPr>
          <w:p>
            <w:r>
              <w:rPr>
                <w:sz w:val="15"/>
              </w:rPr>
              <w:t>Assumption</w:t>
            </w:r>
          </w:p>
        </w:tc>
      </w:tr>
      <w:tr>
        <w:trPr>
          <w:cantSplit w:val="true"/>
        </w:trPr>
        <w:tc>
          <w:tcPr>
            <w:tcW w:type="dxa" w:w="3120"/>
          </w:tcPr>
          <w:p>
            <w:r>
              <w:rPr>
                <w:sz w:val="15"/>
              </w:rPr>
              <w:t>unannounced_mw_per_yr.base</w:t>
            </w:r>
          </w:p>
        </w:tc>
        <w:tc>
          <w:tcPr>
            <w:tcW w:type="dxa" w:w="3120"/>
          </w:tcPr>
          <w:p>
            <w:r>
              <w:rPr>
                <w:sz w:val="15"/>
              </w:rPr>
              <w:t>150</w:t>
            </w:r>
          </w:p>
        </w:tc>
        <w:tc>
          <w:tcPr>
            <w:tcW w:type="dxa" w:w="3120"/>
          </w:tcPr>
          <w:p>
            <w:r>
              <w:rPr>
                <w:sz w:val="15"/>
              </w:rPr>
              <w:t>Assumption</w:t>
            </w:r>
          </w:p>
        </w:tc>
      </w:tr>
      <w:tr>
        <w:trPr>
          <w:cantSplit w:val="true"/>
        </w:trPr>
        <w:tc>
          <w:tcPr>
            <w:tcW w:type="dxa" w:w="3120"/>
          </w:tcPr>
          <w:p>
            <w:r>
              <w:rPr>
                <w:sz w:val="15"/>
              </w:rPr>
              <w:t>unannounced_mw_per_yr.high</w:t>
            </w:r>
          </w:p>
        </w:tc>
        <w:tc>
          <w:tcPr>
            <w:tcW w:type="dxa" w:w="3120"/>
          </w:tcPr>
          <w:p>
            <w:r>
              <w:rPr>
                <w:sz w:val="15"/>
              </w:rPr>
              <w:t>400</w:t>
            </w:r>
          </w:p>
        </w:tc>
        <w:tc>
          <w:tcPr>
            <w:tcW w:type="dxa" w:w="3120"/>
          </w:tcPr>
          <w:p>
            <w:r>
              <w:rPr>
                <w:sz w:val="15"/>
              </w:rPr>
              <w:t>Assumption</w:t>
            </w:r>
          </w:p>
        </w:tc>
      </w:tr>
      <w:tr>
        <w:trPr>
          <w:cantSplit w:val="true"/>
        </w:trPr>
        <w:tc>
          <w:tcPr>
            <w:tcW w:type="dxa" w:w="3120"/>
          </w:tcPr>
          <w:p>
            <w:r>
              <w:rPr>
                <w:sz w:val="15"/>
              </w:rPr>
              <w:t>resource_shares.gas_cc</w:t>
            </w:r>
          </w:p>
        </w:tc>
        <w:tc>
          <w:tcPr>
            <w:tcW w:type="dxa" w:w="3120"/>
          </w:tcPr>
          <w:p>
            <w:r>
              <w:rPr>
                <w:sz w:val="15"/>
              </w:rPr>
              <w:t>0.47</w:t>
            </w:r>
          </w:p>
        </w:tc>
        <w:tc>
          <w:tcPr>
            <w:tcW w:type="dxa" w:w="3120"/>
          </w:tcPr>
          <w:p>
            <w:r>
              <w:rPr>
                <w:sz w:val="15"/>
              </w:rPr>
              <w:t>DiGangi, "Dominion Unveils" (2024 IRP additions) × PJM ELCC ratings</w:t>
            </w:r>
          </w:p>
        </w:tc>
      </w:tr>
      <w:tr>
        <w:trPr>
          <w:cantSplit w:val="true"/>
        </w:trPr>
        <w:tc>
          <w:tcPr>
            <w:tcW w:type="dxa" w:w="3120"/>
          </w:tcPr>
          <w:p>
            <w:r>
              <w:rPr>
                <w:sz w:val="15"/>
              </w:rPr>
              <w:t>resource_shares.storage_4h</w:t>
            </w:r>
          </w:p>
        </w:tc>
        <w:tc>
          <w:tcPr>
            <w:tcW w:type="dxa" w:w="3120"/>
          </w:tcPr>
          <w:p>
            <w:r>
              <w:rPr>
                <w:sz w:val="15"/>
              </w:rPr>
              <w:t>0.28</w:t>
            </w:r>
          </w:p>
        </w:tc>
        <w:tc>
          <w:tcPr>
            <w:tcW w:type="dxa" w:w="3120"/>
          </w:tcPr>
          <w:p>
            <w:r>
              <w:rPr>
                <w:sz w:val="15"/>
              </w:rPr>
              <w:t>DiGangi, "Dominion Unveils" (2024 IRP additions) × PJM ELCC ratings</w:t>
            </w:r>
          </w:p>
        </w:tc>
      </w:tr>
      <w:tr>
        <w:trPr>
          <w:cantSplit w:val="true"/>
        </w:trPr>
        <w:tc>
          <w:tcPr>
            <w:tcW w:type="dxa" w:w="3120"/>
          </w:tcPr>
          <w:p>
            <w:r>
              <w:rPr>
                <w:sz w:val="15"/>
              </w:rPr>
              <w:t>resource_shares.solar</w:t>
            </w:r>
          </w:p>
        </w:tc>
        <w:tc>
          <w:tcPr>
            <w:tcW w:type="dxa" w:w="3120"/>
          </w:tcPr>
          <w:p>
            <w:r>
              <w:rPr>
                <w:sz w:val="15"/>
              </w:rPr>
              <w:t>0.11</w:t>
            </w:r>
          </w:p>
        </w:tc>
        <w:tc>
          <w:tcPr>
            <w:tcW w:type="dxa" w:w="3120"/>
          </w:tcPr>
          <w:p>
            <w:r>
              <w:rPr>
                <w:sz w:val="15"/>
              </w:rPr>
              <w:t>DiGangi, "Dominion Unveils" (2024 IRP additions) × PJM ELCC ratings</w:t>
            </w:r>
          </w:p>
        </w:tc>
      </w:tr>
      <w:tr>
        <w:trPr>
          <w:cantSplit w:val="true"/>
        </w:trPr>
        <w:tc>
          <w:tcPr>
            <w:tcW w:type="dxa" w:w="3120"/>
          </w:tcPr>
          <w:p>
            <w:r>
              <w:rPr>
                <w:sz w:val="15"/>
              </w:rPr>
              <w:t>resource_shares.smr_nuclear</w:t>
            </w:r>
          </w:p>
        </w:tc>
        <w:tc>
          <w:tcPr>
            <w:tcW w:type="dxa" w:w="3120"/>
          </w:tcPr>
          <w:p>
            <w:r>
              <w:rPr>
                <w:sz w:val="15"/>
              </w:rPr>
              <w:t>0.14</w:t>
            </w:r>
          </w:p>
        </w:tc>
        <w:tc>
          <w:tcPr>
            <w:tcW w:type="dxa" w:w="3120"/>
          </w:tcPr>
          <w:p>
            <w:r>
              <w:rPr>
                <w:sz w:val="15"/>
              </w:rPr>
              <w:t>DiGangi, "Dominion Unveils" (2024 IRP additions) × PJM ELCC ratings</w:t>
            </w:r>
          </w:p>
        </w:tc>
      </w:tr>
      <w:tr>
        <w:trPr>
          <w:cantSplit w:val="true"/>
        </w:trPr>
        <w:tc>
          <w:tcPr>
            <w:tcW w:type="dxa" w:w="3120"/>
          </w:tcPr>
          <w:p>
            <w:r>
              <w:rPr>
                <w:sz w:val="15"/>
              </w:rPr>
              <w:t>elcc.gas_cc</w:t>
            </w:r>
          </w:p>
        </w:tc>
        <w:tc>
          <w:tcPr>
            <w:tcW w:type="dxa" w:w="3120"/>
          </w:tcPr>
          <w:p>
            <w:r>
              <w:rPr>
                <w:sz w:val="15"/>
              </w:rPr>
              <w:t>0.74</w:t>
            </w:r>
          </w:p>
        </w:tc>
        <w:tc>
          <w:tcPr>
            <w:tcW w:type="dxa" w:w="3120"/>
          </w:tcPr>
          <w:p>
            <w:r>
              <w:rPr>
                <w:sz w:val="15"/>
              </w:rPr>
              <w:t>PJM Interconnection, ELCC Class Ratings</w:t>
            </w:r>
          </w:p>
        </w:tc>
      </w:tr>
      <w:tr>
        <w:trPr>
          <w:cantSplit w:val="true"/>
        </w:trPr>
        <w:tc>
          <w:tcPr>
            <w:tcW w:type="dxa" w:w="3120"/>
          </w:tcPr>
          <w:p>
            <w:r>
              <w:rPr>
                <w:sz w:val="15"/>
              </w:rPr>
              <w:t>elcc.storage_4h</w:t>
            </w:r>
          </w:p>
        </w:tc>
        <w:tc>
          <w:tcPr>
            <w:tcW w:type="dxa" w:w="3120"/>
          </w:tcPr>
          <w:p>
            <w:r>
              <w:rPr>
                <w:sz w:val="15"/>
              </w:rPr>
              <w:t>0.58</w:t>
            </w:r>
          </w:p>
        </w:tc>
        <w:tc>
          <w:tcPr>
            <w:tcW w:type="dxa" w:w="3120"/>
          </w:tcPr>
          <w:p>
            <w:r>
              <w:rPr>
                <w:sz w:val="15"/>
              </w:rPr>
              <w:t>PJM Interconnection, ELCC Class Ratings</w:t>
            </w:r>
          </w:p>
        </w:tc>
      </w:tr>
      <w:tr>
        <w:trPr>
          <w:cantSplit w:val="true"/>
        </w:trPr>
        <w:tc>
          <w:tcPr>
            <w:tcW w:type="dxa" w:w="3120"/>
          </w:tcPr>
          <w:p>
            <w:r>
              <w:rPr>
                <w:sz w:val="15"/>
              </w:rPr>
              <w:t>elcc.solar</w:t>
            </w:r>
          </w:p>
        </w:tc>
        <w:tc>
          <w:tcPr>
            <w:tcW w:type="dxa" w:w="3120"/>
          </w:tcPr>
          <w:p>
            <w:r>
              <w:rPr>
                <w:sz w:val="15"/>
              </w:rPr>
              <w:t>0.08</w:t>
            </w:r>
          </w:p>
        </w:tc>
        <w:tc>
          <w:tcPr>
            <w:tcW w:type="dxa" w:w="3120"/>
          </w:tcPr>
          <w:p>
            <w:r>
              <w:rPr>
                <w:sz w:val="15"/>
              </w:rPr>
              <w:t>PJM Interconnection, ELCC Class Ratings</w:t>
            </w:r>
          </w:p>
        </w:tc>
      </w:tr>
      <w:tr>
        <w:trPr>
          <w:cantSplit w:val="true"/>
        </w:trPr>
        <w:tc>
          <w:tcPr>
            <w:tcW w:type="dxa" w:w="3120"/>
          </w:tcPr>
          <w:p>
            <w:r>
              <w:rPr>
                <w:sz w:val="15"/>
              </w:rPr>
              <w:t>elcc.smr_nuclear</w:t>
            </w:r>
          </w:p>
        </w:tc>
        <w:tc>
          <w:tcPr>
            <w:tcW w:type="dxa" w:w="3120"/>
          </w:tcPr>
          <w:p>
            <w:r>
              <w:rPr>
                <w:sz w:val="15"/>
              </w:rPr>
              <w:t>0.95</w:t>
            </w:r>
          </w:p>
        </w:tc>
        <w:tc>
          <w:tcPr>
            <w:tcW w:type="dxa" w:w="3120"/>
          </w:tcPr>
          <w:p>
            <w:r>
              <w:rPr>
                <w:sz w:val="15"/>
              </w:rPr>
              <w:t>PJM Interconnection, ELCC Class Ratings</w:t>
            </w:r>
          </w:p>
        </w:tc>
      </w:tr>
      <w:tr>
        <w:trPr>
          <w:cantSplit w:val="true"/>
        </w:trPr>
        <w:tc>
          <w:tcPr>
            <w:tcW w:type="dxa" w:w="3120"/>
          </w:tcPr>
          <w:p>
            <w:r>
              <w:rPr>
                <w:sz w:val="15"/>
              </w:rPr>
              <w:t>capex_per_kw.gas_cc</w:t>
            </w:r>
          </w:p>
        </w:tc>
        <w:tc>
          <w:tcPr>
            <w:tcW w:type="dxa" w:w="3120"/>
          </w:tcPr>
          <w:p>
            <w:r>
              <w:rPr>
                <w:sz w:val="15"/>
              </w:rPr>
              <w:t>2200</w:t>
            </w:r>
          </w:p>
        </w:tc>
        <w:tc>
          <w:tcPr>
            <w:tcW w:type="dxa" w:w="3120"/>
          </w:tcPr>
          <w:p>
            <w:r>
              <w:rPr>
                <w:sz w:val="15"/>
              </w:rPr>
              <w:t>GridLab</w:t>
            </w:r>
          </w:p>
        </w:tc>
      </w:tr>
      <w:tr>
        <w:trPr>
          <w:cantSplit w:val="true"/>
        </w:trPr>
        <w:tc>
          <w:tcPr>
            <w:tcW w:type="dxa" w:w="3120"/>
          </w:tcPr>
          <w:p>
            <w:r>
              <w:rPr>
                <w:sz w:val="15"/>
              </w:rPr>
              <w:t>capex_per_kw.storage_4h</w:t>
            </w:r>
          </w:p>
        </w:tc>
        <w:tc>
          <w:tcPr>
            <w:tcW w:type="dxa" w:w="3120"/>
          </w:tcPr>
          <w:p>
            <w:r>
              <w:rPr>
                <w:sz w:val="15"/>
              </w:rPr>
              <w:t>1580</w:t>
            </w:r>
          </w:p>
        </w:tc>
        <w:tc>
          <w:tcPr>
            <w:tcW w:type="dxa" w:w="3120"/>
          </w:tcPr>
          <w:p>
            <w:r>
              <w:rPr>
                <w:sz w:val="15"/>
              </w:rPr>
              <w:t>U.S. Energy Information Administration, Assumptions (2024 $)</w:t>
            </w:r>
          </w:p>
        </w:tc>
      </w:tr>
      <w:tr>
        <w:trPr>
          <w:cantSplit w:val="true"/>
        </w:trPr>
        <w:tc>
          <w:tcPr>
            <w:tcW w:type="dxa" w:w="3120"/>
          </w:tcPr>
          <w:p>
            <w:r>
              <w:rPr>
                <w:sz w:val="15"/>
              </w:rPr>
              <w:t>capex_per_kw.solar</w:t>
            </w:r>
          </w:p>
        </w:tc>
        <w:tc>
          <w:tcPr>
            <w:tcW w:type="dxa" w:w="3120"/>
          </w:tcPr>
          <w:p>
            <w:r>
              <w:rPr>
                <w:sz w:val="15"/>
              </w:rPr>
              <w:t>1379</w:t>
            </w:r>
          </w:p>
        </w:tc>
        <w:tc>
          <w:tcPr>
            <w:tcW w:type="dxa" w:w="3120"/>
          </w:tcPr>
          <w:p>
            <w:r>
              <w:rPr>
                <w:sz w:val="15"/>
              </w:rPr>
              <w:t>U.S. Energy Information Administration, Assumptions (2024 $)</w:t>
            </w:r>
          </w:p>
        </w:tc>
      </w:tr>
      <w:tr>
        <w:trPr>
          <w:cantSplit w:val="true"/>
        </w:trPr>
        <w:tc>
          <w:tcPr>
            <w:tcW w:type="dxa" w:w="3120"/>
          </w:tcPr>
          <w:p>
            <w:r>
              <w:rPr>
                <w:sz w:val="15"/>
              </w:rPr>
              <w:t>capex_per_kw.smr_nuclear</w:t>
            </w:r>
          </w:p>
        </w:tc>
        <w:tc>
          <w:tcPr>
            <w:tcW w:type="dxa" w:w="3120"/>
          </w:tcPr>
          <w:p>
            <w:r>
              <w:rPr>
                <w:sz w:val="15"/>
              </w:rPr>
              <w:t>9314</w:t>
            </w:r>
          </w:p>
        </w:tc>
        <w:tc>
          <w:tcPr>
            <w:tcW w:type="dxa" w:w="3120"/>
          </w:tcPr>
          <w:p>
            <w:r>
              <w:rPr>
                <w:sz w:val="15"/>
              </w:rPr>
              <w:t>U.S. Energy Information Administration, Assumptions (2024 $)</w:t>
            </w:r>
          </w:p>
        </w:tc>
      </w:tr>
      <w:tr>
        <w:trPr>
          <w:cantSplit w:val="true"/>
        </w:trPr>
        <w:tc>
          <w:tcPr>
            <w:tcW w:type="dxa" w:w="3120"/>
          </w:tcPr>
          <w:p>
            <w:r>
              <w:rPr>
                <w:sz w:val="15"/>
              </w:rPr>
              <w:t>fom_per_kw_yr.gas_cc</w:t>
            </w:r>
          </w:p>
        </w:tc>
        <w:tc>
          <w:tcPr>
            <w:tcW w:type="dxa" w:w="3120"/>
          </w:tcPr>
          <w:p>
            <w:r>
              <w:rPr>
                <w:sz w:val="15"/>
              </w:rPr>
              <w:t>12.31</w:t>
            </w:r>
          </w:p>
        </w:tc>
        <w:tc>
          <w:tcPr>
            <w:tcW w:type="dxa" w:w="3120"/>
          </w:tcPr>
          <w:p>
            <w:r>
              <w:rPr>
                <w:sz w:val="15"/>
              </w:rPr>
              <w:t>U.S. Energy Information Administration, Assumptions (2024 $)</w:t>
            </w:r>
          </w:p>
        </w:tc>
      </w:tr>
      <w:tr>
        <w:trPr>
          <w:cantSplit w:val="true"/>
        </w:trPr>
        <w:tc>
          <w:tcPr>
            <w:tcW w:type="dxa" w:w="3120"/>
          </w:tcPr>
          <w:p>
            <w:r>
              <w:rPr>
                <w:sz w:val="15"/>
              </w:rPr>
              <w:t>fom_per_kw_yr.storage_4h</w:t>
            </w:r>
          </w:p>
        </w:tc>
        <w:tc>
          <w:tcPr>
            <w:tcW w:type="dxa" w:w="3120"/>
          </w:tcPr>
          <w:p>
            <w:r>
              <w:rPr>
                <w:sz w:val="15"/>
              </w:rPr>
              <w:t>40.62</w:t>
            </w:r>
          </w:p>
        </w:tc>
        <w:tc>
          <w:tcPr>
            <w:tcW w:type="dxa" w:w="3120"/>
          </w:tcPr>
          <w:p>
            <w:r>
              <w:rPr>
                <w:sz w:val="15"/>
              </w:rPr>
              <w:t>U.S. Energy Information Administration, Assumptions (2024 $)</w:t>
            </w:r>
          </w:p>
        </w:tc>
      </w:tr>
      <w:tr>
        <w:trPr>
          <w:cantSplit w:val="true"/>
        </w:trPr>
        <w:tc>
          <w:tcPr>
            <w:tcW w:type="dxa" w:w="3120"/>
          </w:tcPr>
          <w:p>
            <w:r>
              <w:rPr>
                <w:sz w:val="15"/>
              </w:rPr>
              <w:t>fom_per_kw_yr.solar</w:t>
            </w:r>
          </w:p>
        </w:tc>
        <w:tc>
          <w:tcPr>
            <w:tcW w:type="dxa" w:w="3120"/>
          </w:tcPr>
          <w:p>
            <w:r>
              <w:rPr>
                <w:sz w:val="15"/>
              </w:rPr>
              <w:t>22.91</w:t>
            </w:r>
          </w:p>
        </w:tc>
        <w:tc>
          <w:tcPr>
            <w:tcW w:type="dxa" w:w="3120"/>
          </w:tcPr>
          <w:p>
            <w:r>
              <w:rPr>
                <w:sz w:val="15"/>
              </w:rPr>
              <w:t>U.S. Energy Information Administration, Assumptions (2024 $)</w:t>
            </w:r>
          </w:p>
        </w:tc>
      </w:tr>
      <w:tr>
        <w:trPr>
          <w:cantSplit w:val="true"/>
        </w:trPr>
        <w:tc>
          <w:tcPr>
            <w:tcW w:type="dxa" w:w="3120"/>
          </w:tcPr>
          <w:p>
            <w:r>
              <w:rPr>
                <w:sz w:val="15"/>
              </w:rPr>
              <w:t>fom_per_kw_yr.smr_nuclear</w:t>
            </w:r>
          </w:p>
        </w:tc>
        <w:tc>
          <w:tcPr>
            <w:tcW w:type="dxa" w:w="3120"/>
          </w:tcPr>
          <w:p>
            <w:r>
              <w:rPr>
                <w:sz w:val="15"/>
              </w:rPr>
              <w:t>123.88</w:t>
            </w:r>
          </w:p>
        </w:tc>
        <w:tc>
          <w:tcPr>
            <w:tcW w:type="dxa" w:w="3120"/>
          </w:tcPr>
          <w:p>
            <w:r>
              <w:rPr>
                <w:sz w:val="15"/>
              </w:rPr>
              <w:t>U.S. Energy Information Administration, Assumptions (2024 $)</w:t>
            </w:r>
          </w:p>
        </w:tc>
      </w:tr>
      <w:tr>
        <w:trPr>
          <w:cantSplit w:val="true"/>
        </w:trPr>
        <w:tc>
          <w:tcPr>
            <w:tcW w:type="dxa" w:w="3120"/>
          </w:tcPr>
          <w:p>
            <w:r>
              <w:rPr>
                <w:sz w:val="15"/>
              </w:rPr>
              <w:t>book_life_yrs.gas_cc</w:t>
            </w:r>
          </w:p>
        </w:tc>
        <w:tc>
          <w:tcPr>
            <w:tcW w:type="dxa" w:w="3120"/>
          </w:tcPr>
          <w:p>
            <w:r>
              <w:rPr>
                <w:sz w:val="15"/>
              </w:rPr>
              <w:t>30</w:t>
            </w:r>
          </w:p>
        </w:tc>
        <w:tc>
          <w:tcPr>
            <w:tcW w:type="dxa" w:w="3120"/>
          </w:tcPr>
          <w:p>
            <w:r>
              <w:rPr>
                <w:sz w:val="15"/>
              </w:rPr>
              <w:t>Assumption (no published source; see Sect. 7.1 where tested)</w:t>
            </w:r>
          </w:p>
        </w:tc>
      </w:tr>
      <w:tr>
        <w:trPr>
          <w:cantSplit w:val="true"/>
        </w:trPr>
        <w:tc>
          <w:tcPr>
            <w:tcW w:type="dxa" w:w="3120"/>
          </w:tcPr>
          <w:p>
            <w:r>
              <w:rPr>
                <w:sz w:val="15"/>
              </w:rPr>
              <w:t>book_life_yrs.storage_4h</w:t>
            </w:r>
          </w:p>
        </w:tc>
        <w:tc>
          <w:tcPr>
            <w:tcW w:type="dxa" w:w="3120"/>
          </w:tcPr>
          <w:p>
            <w:r>
              <w:rPr>
                <w:sz w:val="15"/>
              </w:rPr>
              <w:t>15</w:t>
            </w:r>
          </w:p>
        </w:tc>
        <w:tc>
          <w:tcPr>
            <w:tcW w:type="dxa" w:w="3120"/>
          </w:tcPr>
          <w:p>
            <w:r>
              <w:rPr>
                <w:sz w:val="15"/>
              </w:rPr>
              <w:t>Assumption (no published source; see Sect. 7.1 where tested)</w:t>
            </w:r>
          </w:p>
        </w:tc>
      </w:tr>
      <w:tr>
        <w:trPr>
          <w:cantSplit w:val="true"/>
        </w:trPr>
        <w:tc>
          <w:tcPr>
            <w:tcW w:type="dxa" w:w="3120"/>
          </w:tcPr>
          <w:p>
            <w:r>
              <w:rPr>
                <w:sz w:val="15"/>
              </w:rPr>
              <w:t>book_life_yrs.solar</w:t>
            </w:r>
          </w:p>
        </w:tc>
        <w:tc>
          <w:tcPr>
            <w:tcW w:type="dxa" w:w="3120"/>
          </w:tcPr>
          <w:p>
            <w:r>
              <w:rPr>
                <w:sz w:val="15"/>
              </w:rPr>
              <w:t>30</w:t>
            </w:r>
          </w:p>
        </w:tc>
        <w:tc>
          <w:tcPr>
            <w:tcW w:type="dxa" w:w="3120"/>
          </w:tcPr>
          <w:p>
            <w:r>
              <w:rPr>
                <w:sz w:val="15"/>
              </w:rPr>
              <w:t>Assumption (no published source; see Sect. 7.1 where tested)</w:t>
            </w:r>
          </w:p>
        </w:tc>
      </w:tr>
      <w:tr>
        <w:trPr>
          <w:cantSplit w:val="true"/>
        </w:trPr>
        <w:tc>
          <w:tcPr>
            <w:tcW w:type="dxa" w:w="3120"/>
          </w:tcPr>
          <w:p>
            <w:r>
              <w:rPr>
                <w:sz w:val="15"/>
              </w:rPr>
              <w:t>book_life_yrs.smr_nuclear</w:t>
            </w:r>
          </w:p>
        </w:tc>
        <w:tc>
          <w:tcPr>
            <w:tcW w:type="dxa" w:w="3120"/>
          </w:tcPr>
          <w:p>
            <w:r>
              <w:rPr>
                <w:sz w:val="15"/>
              </w:rPr>
              <w:t>60</w:t>
            </w:r>
          </w:p>
        </w:tc>
        <w:tc>
          <w:tcPr>
            <w:tcW w:type="dxa" w:w="3120"/>
          </w:tcPr>
          <w:p>
            <w:r>
              <w:rPr>
                <w:sz w:val="15"/>
              </w:rPr>
              <w:t>Assumption (no published source; see Sect. 7.1 where tested)</w:t>
            </w:r>
          </w:p>
        </w:tc>
      </w:tr>
      <w:tr>
        <w:trPr>
          <w:cantSplit w:val="true"/>
        </w:trPr>
        <w:tc>
          <w:tcPr>
            <w:tcW w:type="dxa" w:w="3120"/>
          </w:tcPr>
          <w:p>
            <w:r>
              <w:rPr>
                <w:sz w:val="15"/>
              </w:rPr>
              <w:t>book_life_yrs.td</w:t>
            </w:r>
          </w:p>
        </w:tc>
        <w:tc>
          <w:tcPr>
            <w:tcW w:type="dxa" w:w="3120"/>
          </w:tcPr>
          <w:p>
            <w:r>
              <w:rPr>
                <w:sz w:val="15"/>
              </w:rPr>
              <w:t>45</w:t>
            </w:r>
          </w:p>
        </w:tc>
        <w:tc>
          <w:tcPr>
            <w:tcW w:type="dxa" w:w="3120"/>
          </w:tcPr>
          <w:p>
            <w:r>
              <w:rPr>
                <w:sz w:val="15"/>
              </w:rPr>
              <w:t>Assumption (no published source; see Sect. 7.1 where tested)</w:t>
            </w:r>
          </w:p>
        </w:tc>
      </w:tr>
    </w:tbl>
    <w:p/>
    <w:p>
      <w:pPr>
        <w:pStyle w:val="Heading1"/>
      </w:pPr>
      <w:r>
        <w:t>Appendix B. Data Center Project Pipeline</w:t>
      </w:r>
    </w:p>
    <w:p>
      <w:pPr>
        <w:keepNext/>
      </w:pPr>
      <w:r>
        <w:rPr>
          <w:b w:val="0"/>
          <w:i/>
          <w:sz w:val="18"/>
        </w:rPr>
        <w:t>Table 16. De-duplicated pipeline (full table with quotes in data/processed/pipeline.csv)</w:t>
      </w:r>
    </w:p>
    <w:tbl>
      <w:tblPr>
        <w:tblStyle w:val="TableGrid"/>
        <w:tblW w:type="auto" w:w="0"/>
        <w:jc w:val="center"/>
        <w:tblLook w:firstColumn="1" w:firstRow="1" w:lastColumn="0" w:lastRow="0" w:noHBand="0" w:noVBand="1" w:val="04A0"/>
      </w:tblPr>
      <w:tblGrid>
        <w:gridCol w:w="1170"/>
        <w:gridCol w:w="1170"/>
        <w:gridCol w:w="1170"/>
        <w:gridCol w:w="1170"/>
        <w:gridCol w:w="1170"/>
        <w:gridCol w:w="1170"/>
        <w:gridCol w:w="1170"/>
        <w:gridCol w:w="1170"/>
      </w:tblGrid>
      <w:tr>
        <w:trPr>
          <w:cantSplit w:val="true"/>
          <w:tblHeader w:val="true"/>
        </w:trPr>
        <w:tc>
          <w:tcPr>
            <w:tcW w:type="dxa" w:w="1170"/>
            <w:shd w:val="clear" w:color="auto" w:fill="DCE6F1"/>
          </w:tcPr>
          <w:p>
            <w:r>
              <w:rPr>
                <w:b/>
                <w:sz w:val="14"/>
              </w:rPr>
              <w:t>ID</w:t>
            </w:r>
          </w:p>
        </w:tc>
        <w:tc>
          <w:tcPr>
            <w:tcW w:type="dxa" w:w="1170"/>
            <w:shd w:val="clear" w:color="auto" w:fill="DCE6F1"/>
          </w:tcPr>
          <w:p>
            <w:r>
              <w:rPr>
                <w:b/>
                <w:sz w:val="14"/>
              </w:rPr>
              <w:t>Campus</w:t>
            </w:r>
          </w:p>
        </w:tc>
        <w:tc>
          <w:tcPr>
            <w:tcW w:type="dxa" w:w="1170"/>
            <w:shd w:val="clear" w:color="auto" w:fill="DCE6F1"/>
          </w:tcPr>
          <w:p>
            <w:r>
              <w:rPr>
                <w:b/>
                <w:sz w:val="14"/>
              </w:rPr>
              <w:t>Developer</w:t>
            </w:r>
          </w:p>
        </w:tc>
        <w:tc>
          <w:tcPr>
            <w:tcW w:type="dxa" w:w="1170"/>
            <w:shd w:val="clear" w:color="auto" w:fill="DCE6F1"/>
          </w:tcPr>
          <w:p>
            <w:r>
              <w:rPr>
                <w:b/>
                <w:sz w:val="14"/>
              </w:rPr>
              <w:t>County</w:t>
            </w:r>
          </w:p>
        </w:tc>
        <w:tc>
          <w:tcPr>
            <w:tcW w:type="dxa" w:w="1170"/>
            <w:shd w:val="clear" w:color="auto" w:fill="DCE6F1"/>
          </w:tcPr>
          <w:p>
            <w:r>
              <w:rPr>
                <w:b/>
                <w:sz w:val="14"/>
              </w:rPr>
              <w:t>MW (grid)</w:t>
            </w:r>
          </w:p>
        </w:tc>
        <w:tc>
          <w:tcPr>
            <w:tcW w:type="dxa" w:w="1170"/>
            <w:shd w:val="clear" w:color="auto" w:fill="DCE6F1"/>
          </w:tcPr>
          <w:p>
            <w:r>
              <w:rPr>
                <w:b/>
                <w:sz w:val="14"/>
              </w:rPr>
              <w:t>Stage</w:t>
            </w:r>
          </w:p>
        </w:tc>
        <w:tc>
          <w:tcPr>
            <w:tcW w:type="dxa" w:w="1170"/>
            <w:shd w:val="clear" w:color="auto" w:fill="DCE6F1"/>
          </w:tcPr>
          <w:p>
            <w:r>
              <w:rPr>
                <w:b/>
                <w:sz w:val="14"/>
              </w:rPr>
              <w:t>Expected online</w:t>
            </w:r>
          </w:p>
        </w:tc>
        <w:tc>
          <w:tcPr>
            <w:tcW w:type="dxa" w:w="1170"/>
            <w:shd w:val="clear" w:color="auto" w:fill="DCE6F1"/>
          </w:tcPr>
          <w:p>
            <w:r>
              <w:rPr>
                <w:b/>
                <w:sz w:val="14"/>
              </w:rPr>
              <w:t>Source URL</w:t>
            </w:r>
          </w:p>
        </w:tc>
      </w:tr>
      <w:tr>
        <w:trPr>
          <w:cantSplit w:val="true"/>
        </w:trPr>
        <w:tc>
          <w:tcPr>
            <w:tcW w:type="dxa" w:w="1170"/>
          </w:tcPr>
          <w:p>
            <w:r>
              <w:rPr>
                <w:sz w:val="14"/>
              </w:rPr>
              <w:t>P001</w:t>
            </w:r>
          </w:p>
        </w:tc>
        <w:tc>
          <w:tcPr>
            <w:tcW w:type="dxa" w:w="1170"/>
          </w:tcPr>
          <w:p>
            <w:r>
              <w:rPr>
                <w:sz w:val="14"/>
              </w:rPr>
              <w:t>Lake Anna Technology Campus</w:t>
            </w:r>
          </w:p>
        </w:tc>
        <w:tc>
          <w:tcPr>
            <w:tcW w:type="dxa" w:w="1170"/>
          </w:tcPr>
          <w:p>
            <w:r>
              <w:rPr>
                <w:sz w:val="14"/>
              </w:rPr>
              <w:t>Amazon Web Services</w:t>
            </w:r>
          </w:p>
        </w:tc>
        <w:tc>
          <w:tcPr>
            <w:tcW w:type="dxa" w:w="1170"/>
          </w:tcPr>
          <w:p>
            <w:r>
              <w:rPr>
                <w:sz w:val="14"/>
              </w:rPr>
              <w:t>Louisa</w:t>
            </w:r>
          </w:p>
        </w:tc>
        <w:tc>
          <w:tcPr>
            <w:tcW w:type="dxa" w:w="1170"/>
          </w:tcPr>
          <w:p>
            <w:r>
              <w:rPr>
                <w:sz w:val="14"/>
              </w:rPr>
              <w:t>420</w:t>
            </w:r>
          </w:p>
        </w:tc>
        <w:tc>
          <w:tcPr>
            <w:tcW w:type="dxa" w:w="1170"/>
          </w:tcPr>
          <w:p>
            <w:r>
              <w:rPr>
                <w:sz w:val="14"/>
              </w:rPr>
              <w:t>Under construction</w:t>
            </w:r>
          </w:p>
        </w:tc>
        <w:tc>
          <w:tcPr>
            <w:tcW w:type="dxa" w:w="1170"/>
          </w:tcPr>
          <w:p>
            <w:r>
              <w:rPr>
                <w:sz w:val="14"/>
              </w:rPr>
              <w:t>2027</w:t>
            </w:r>
          </w:p>
        </w:tc>
        <w:tc>
          <w:tcPr>
            <w:tcW w:type="dxa" w:w="1170"/>
          </w:tcPr>
          <w:p>
            <w:r>
              <w:rPr>
                <w:sz w:val="14"/>
              </w:rPr>
              <w:t>https://insidethedatacenter.com/articles/virginia-data-cente</w:t>
            </w:r>
          </w:p>
        </w:tc>
      </w:tr>
      <w:tr>
        <w:trPr>
          <w:cantSplit w:val="true"/>
        </w:trPr>
        <w:tc>
          <w:tcPr>
            <w:tcW w:type="dxa" w:w="1170"/>
          </w:tcPr>
          <w:p>
            <w:r>
              <w:rPr>
                <w:sz w:val="14"/>
              </w:rPr>
              <w:t>P002</w:t>
            </w:r>
          </w:p>
        </w:tc>
        <w:tc>
          <w:tcPr>
            <w:tcW w:type="dxa" w:w="1170"/>
          </w:tcPr>
          <w:p>
            <w:r>
              <w:rPr>
                <w:sz w:val="14"/>
              </w:rPr>
              <w:t>Stafford Technology Campus</w:t>
            </w:r>
          </w:p>
        </w:tc>
        <w:tc>
          <w:tcPr>
            <w:tcW w:type="dxa" w:w="1170"/>
          </w:tcPr>
          <w:p>
            <w:r>
              <w:rPr>
                <w:sz w:val="14"/>
              </w:rPr>
              <w:t>STACK Infrastructure</w:t>
            </w:r>
          </w:p>
        </w:tc>
        <w:tc>
          <w:tcPr>
            <w:tcW w:type="dxa" w:w="1170"/>
          </w:tcPr>
          <w:p>
            <w:r>
              <w:rPr>
                <w:sz w:val="14"/>
              </w:rPr>
              <w:t>Stafford</w:t>
            </w:r>
          </w:p>
        </w:tc>
        <w:tc>
          <w:tcPr>
            <w:tcW w:type="dxa" w:w="1170"/>
          </w:tcPr>
          <w:p>
            <w:r>
              <w:rPr>
                <w:sz w:val="14"/>
              </w:rPr>
              <w:t>1,000</w:t>
            </w:r>
          </w:p>
        </w:tc>
        <w:tc>
          <w:tcPr>
            <w:tcW w:type="dxa" w:w="1170"/>
          </w:tcPr>
          <w:p>
            <w:r>
              <w:rPr>
                <w:sz w:val="14"/>
              </w:rPr>
              <w:t>Under construction</w:t>
            </w:r>
          </w:p>
        </w:tc>
        <w:tc>
          <w:tcPr>
            <w:tcW w:type="dxa" w:w="1170"/>
          </w:tcPr>
          <w:p>
            <w:r>
              <w:rPr>
                <w:sz w:val="14"/>
              </w:rPr>
              <w:t>2027</w:t>
            </w:r>
          </w:p>
        </w:tc>
        <w:tc>
          <w:tcPr>
            <w:tcW w:type="dxa" w:w="1170"/>
          </w:tcPr>
          <w:p>
            <w:r>
              <w:rPr>
                <w:sz w:val="14"/>
              </w:rPr>
              <w:t>https://insidethedatacenter.com/articles/virginia-data-cente</w:t>
            </w:r>
          </w:p>
        </w:tc>
      </w:tr>
      <w:tr>
        <w:trPr>
          <w:cantSplit w:val="true"/>
        </w:trPr>
        <w:tc>
          <w:tcPr>
            <w:tcW w:type="dxa" w:w="1170"/>
          </w:tcPr>
          <w:p>
            <w:r>
              <w:rPr>
                <w:sz w:val="14"/>
              </w:rPr>
              <w:t>P003</w:t>
            </w:r>
          </w:p>
        </w:tc>
        <w:tc>
          <w:tcPr>
            <w:tcW w:type="dxa" w:w="1170"/>
          </w:tcPr>
          <w:p>
            <w:r>
              <w:rPr>
                <w:sz w:val="14"/>
              </w:rPr>
              <w:t>VA1 campus</w:t>
            </w:r>
          </w:p>
        </w:tc>
        <w:tc>
          <w:tcPr>
            <w:tcW w:type="dxa" w:w="1170"/>
          </w:tcPr>
          <w:p>
            <w:r>
              <w:rPr>
                <w:sz w:val="14"/>
              </w:rPr>
              <w:t>CleanArc Data Centers</w:t>
            </w:r>
          </w:p>
        </w:tc>
        <w:tc>
          <w:tcPr>
            <w:tcW w:type="dxa" w:w="1170"/>
          </w:tcPr>
          <w:p>
            <w:r>
              <w:rPr>
                <w:sz w:val="14"/>
              </w:rPr>
              <w:t>Caroline</w:t>
            </w:r>
          </w:p>
        </w:tc>
        <w:tc>
          <w:tcPr>
            <w:tcW w:type="dxa" w:w="1170"/>
          </w:tcPr>
          <w:p>
            <w:r>
              <w:rPr>
                <w:sz w:val="14"/>
              </w:rPr>
              <w:t>900</w:t>
            </w:r>
          </w:p>
        </w:tc>
        <w:tc>
          <w:tcPr>
            <w:tcW w:type="dxa" w:w="1170"/>
          </w:tcPr>
          <w:p>
            <w:r>
              <w:rPr>
                <w:sz w:val="14"/>
              </w:rPr>
              <w:t>Under construction</w:t>
            </w:r>
          </w:p>
        </w:tc>
        <w:tc>
          <w:tcPr>
            <w:tcW w:type="dxa" w:w="1170"/>
          </w:tcPr>
          <w:p>
            <w:r>
              <w:rPr>
                <w:sz w:val="14"/>
              </w:rPr>
              <w:t>2026</w:t>
            </w:r>
          </w:p>
        </w:tc>
        <w:tc>
          <w:tcPr>
            <w:tcW w:type="dxa" w:w="1170"/>
          </w:tcPr>
          <w:p>
            <w:r>
              <w:rPr>
                <w:sz w:val="14"/>
              </w:rPr>
              <w:t>https://insidethedatacenter.com/articles/virginia-data-cente</w:t>
            </w:r>
          </w:p>
        </w:tc>
      </w:tr>
      <w:tr>
        <w:trPr>
          <w:cantSplit w:val="true"/>
        </w:trPr>
        <w:tc>
          <w:tcPr>
            <w:tcW w:type="dxa" w:w="1170"/>
          </w:tcPr>
          <w:p>
            <w:r>
              <w:rPr>
                <w:sz w:val="14"/>
              </w:rPr>
              <w:t>P004</w:t>
            </w:r>
          </w:p>
        </w:tc>
        <w:tc>
          <w:tcPr>
            <w:tcW w:type="dxa" w:w="1170"/>
          </w:tcPr>
          <w:p>
            <w:r>
              <w:rPr>
                <w:sz w:val="14"/>
              </w:rPr>
              <w:t>Richmond campus (Technology Creek Drive)</w:t>
            </w:r>
          </w:p>
        </w:tc>
        <w:tc>
          <w:tcPr>
            <w:tcW w:type="dxa" w:w="1170"/>
          </w:tcPr>
          <w:p>
            <w:r>
              <w:rPr>
                <w:sz w:val="14"/>
              </w:rPr>
              <w:t>Iron Mountain</w:t>
            </w:r>
          </w:p>
        </w:tc>
        <w:tc>
          <w:tcPr>
            <w:tcW w:type="dxa" w:w="1170"/>
          </w:tcPr>
          <w:p>
            <w:r>
              <w:rPr>
                <w:sz w:val="14"/>
              </w:rPr>
              <w:t>Henrico</w:t>
            </w:r>
          </w:p>
        </w:tc>
        <w:tc>
          <w:tcPr>
            <w:tcW w:type="dxa" w:w="1170"/>
          </w:tcPr>
          <w:p>
            <w:r>
              <w:rPr>
                <w:sz w:val="14"/>
              </w:rPr>
              <w:t>200</w:t>
            </w:r>
          </w:p>
        </w:tc>
        <w:tc>
          <w:tcPr>
            <w:tcW w:type="dxa" w:w="1170"/>
          </w:tcPr>
          <w:p>
            <w:r>
              <w:rPr>
                <w:sz w:val="14"/>
              </w:rPr>
              <w:t>Under construction</w:t>
            </w:r>
          </w:p>
        </w:tc>
        <w:tc>
          <w:tcPr>
            <w:tcW w:type="dxa" w:w="1170"/>
          </w:tcPr>
          <w:p>
            <w:r>
              <w:rPr>
                <w:sz w:val="14"/>
              </w:rPr>
              <w:t>2027</w:t>
            </w:r>
          </w:p>
        </w:tc>
        <w:tc>
          <w:tcPr>
            <w:tcW w:type="dxa" w:w="1170"/>
          </w:tcPr>
          <w:p>
            <w:r>
              <w:rPr>
                <w:sz w:val="14"/>
              </w:rPr>
              <w:t>https://insidethedatacenter.com/articles/virginia-data-cente</w:t>
            </w:r>
          </w:p>
        </w:tc>
      </w:tr>
      <w:tr>
        <w:trPr>
          <w:cantSplit w:val="true"/>
        </w:trPr>
        <w:tc>
          <w:tcPr>
            <w:tcW w:type="dxa" w:w="1170"/>
          </w:tcPr>
          <w:p>
            <w:r>
              <w:rPr>
                <w:sz w:val="14"/>
              </w:rPr>
              <w:t>P005</w:t>
            </w:r>
          </w:p>
        </w:tc>
        <w:tc>
          <w:tcPr>
            <w:tcW w:type="dxa" w:w="1170"/>
          </w:tcPr>
          <w:p>
            <w:r>
              <w:rPr>
                <w:sz w:val="14"/>
              </w:rPr>
              <w:t>MD-VA1</w:t>
            </w:r>
          </w:p>
        </w:tc>
        <w:tc>
          <w:tcPr>
            <w:tcW w:type="dxa" w:w="1170"/>
          </w:tcPr>
          <w:p>
            <w:r>
              <w:rPr>
                <w:sz w:val="14"/>
              </w:rPr>
              <w:t>Menlo Digital</w:t>
            </w:r>
          </w:p>
        </w:tc>
        <w:tc>
          <w:tcPr>
            <w:tcW w:type="dxa" w:w="1170"/>
          </w:tcPr>
          <w:p>
            <w:r>
              <w:rPr>
                <w:sz w:val="14"/>
              </w:rPr>
              <w:t>Fairfax</w:t>
            </w:r>
          </w:p>
        </w:tc>
        <w:tc>
          <w:tcPr>
            <w:tcW w:type="dxa" w:w="1170"/>
          </w:tcPr>
          <w:p>
            <w:r>
              <w:rPr>
                <w:sz w:val="14"/>
              </w:rPr>
              <w:t>62</w:t>
            </w:r>
          </w:p>
        </w:tc>
        <w:tc>
          <w:tcPr>
            <w:tcW w:type="dxa" w:w="1170"/>
          </w:tcPr>
          <w:p>
            <w:r>
              <w:rPr>
                <w:sz w:val="14"/>
              </w:rPr>
              <w:t>Under construction</w:t>
            </w:r>
          </w:p>
        </w:tc>
        <w:tc>
          <w:tcPr>
            <w:tcW w:type="dxa" w:w="1170"/>
          </w:tcPr>
          <w:p>
            <w:r>
              <w:rPr>
                <w:sz w:val="14"/>
              </w:rPr>
              <w:t>2026</w:t>
            </w:r>
          </w:p>
        </w:tc>
        <w:tc>
          <w:tcPr>
            <w:tcW w:type="dxa" w:w="1170"/>
          </w:tcPr>
          <w:p>
            <w:r>
              <w:rPr>
                <w:sz w:val="14"/>
              </w:rPr>
              <w:t>https://insidethedatacenter.com/articles/virginia-data-cente</w:t>
            </w:r>
          </w:p>
        </w:tc>
      </w:tr>
      <w:tr>
        <w:trPr>
          <w:cantSplit w:val="true"/>
        </w:trPr>
        <w:tc>
          <w:tcPr>
            <w:tcW w:type="dxa" w:w="1170"/>
          </w:tcPr>
          <w:p>
            <w:r>
              <w:rPr>
                <w:sz w:val="14"/>
              </w:rPr>
              <w:t>P006</w:t>
            </w:r>
          </w:p>
        </w:tc>
        <w:tc>
          <w:tcPr>
            <w:tcW w:type="dxa" w:w="1170"/>
          </w:tcPr>
          <w:p>
            <w:r>
              <w:rPr>
                <w:sz w:val="14"/>
              </w:rPr>
              <w:t>Shannon Hill campus</w:t>
            </w:r>
          </w:p>
        </w:tc>
        <w:tc>
          <w:tcPr>
            <w:tcW w:type="dxa" w:w="1170"/>
          </w:tcPr>
          <w:p>
            <w:r>
              <w:rPr>
                <w:sz w:val="14"/>
              </w:rPr>
              <w:t>EdgeCore</w:t>
            </w:r>
          </w:p>
        </w:tc>
        <w:tc>
          <w:tcPr>
            <w:tcW w:type="dxa" w:w="1170"/>
          </w:tcPr>
          <w:p>
            <w:r>
              <w:rPr>
                <w:sz w:val="14"/>
              </w:rPr>
              <w:t>Louisa</w:t>
            </w:r>
          </w:p>
        </w:tc>
        <w:tc>
          <w:tcPr>
            <w:tcW w:type="dxa" w:w="1170"/>
          </w:tcPr>
          <w:p>
            <w:r>
              <w:rPr>
                <w:sz w:val="14"/>
              </w:rPr>
              <w:t>1,100</w:t>
            </w:r>
          </w:p>
        </w:tc>
        <w:tc>
          <w:tcPr>
            <w:tcW w:type="dxa" w:w="1170"/>
          </w:tcPr>
          <w:p>
            <w:r>
              <w:rPr>
                <w:sz w:val="14"/>
              </w:rPr>
              <w:t>Announced</w:t>
            </w:r>
          </w:p>
        </w:tc>
        <w:tc>
          <w:tcPr>
            <w:tcW w:type="dxa" w:w="1170"/>
          </w:tcPr>
          <w:p>
            <w:r>
              <w:rPr>
                <w:sz w:val="14"/>
              </w:rPr>
              <w:t>2027</w:t>
            </w:r>
          </w:p>
        </w:tc>
        <w:tc>
          <w:tcPr>
            <w:tcW w:type="dxa" w:w="1170"/>
          </w:tcPr>
          <w:p>
            <w:r>
              <w:rPr>
                <w:sz w:val="14"/>
              </w:rPr>
              <w:t>https://insidethedatacenter.com/articles/virginia-data-cente</w:t>
            </w:r>
          </w:p>
        </w:tc>
      </w:tr>
      <w:tr>
        <w:trPr>
          <w:cantSplit w:val="true"/>
        </w:trPr>
        <w:tc>
          <w:tcPr>
            <w:tcW w:type="dxa" w:w="1170"/>
          </w:tcPr>
          <w:p>
            <w:r>
              <w:rPr>
                <w:sz w:val="14"/>
              </w:rPr>
              <w:t>P007</w:t>
            </w:r>
          </w:p>
        </w:tc>
        <w:tc>
          <w:tcPr>
            <w:tcW w:type="dxa" w:w="1170"/>
          </w:tcPr>
          <w:p>
            <w:r>
              <w:rPr>
                <w:sz w:val="14"/>
              </w:rPr>
              <w:t>Dahlgren West</w:t>
            </w:r>
          </w:p>
        </w:tc>
        <w:tc>
          <w:tcPr>
            <w:tcW w:type="dxa" w:w="1170"/>
          </w:tcPr>
          <w:p>
            <w:r>
              <w:rPr>
                <w:sz w:val="14"/>
              </w:rPr>
              <w:t>Dahlgren Innovation Hub / Oasis Digital</w:t>
            </w:r>
          </w:p>
        </w:tc>
        <w:tc>
          <w:tcPr>
            <w:tcW w:type="dxa" w:w="1170"/>
          </w:tcPr>
          <w:p>
            <w:r>
              <w:rPr>
                <w:sz w:val="14"/>
              </w:rPr>
              <w:t>King George</w:t>
            </w:r>
          </w:p>
        </w:tc>
        <w:tc>
          <w:tcPr>
            <w:tcW w:type="dxa" w:w="1170"/>
          </w:tcPr>
          <w:p>
            <w:r>
              <w:rPr>
                <w:sz w:val="14"/>
              </w:rPr>
              <w:t>1,200</w:t>
            </w:r>
          </w:p>
        </w:tc>
        <w:tc>
          <w:tcPr>
            <w:tcW w:type="dxa" w:w="1170"/>
          </w:tcPr>
          <w:p>
            <w:r>
              <w:rPr>
                <w:sz w:val="14"/>
              </w:rPr>
              <w:t>Zoned</w:t>
            </w:r>
          </w:p>
        </w:tc>
        <w:tc>
          <w:tcPr>
            <w:tcW w:type="dxa" w:w="1170"/>
          </w:tcPr>
          <w:p>
            <w:r>
              <w:rPr>
                <w:sz w:val="14"/>
              </w:rPr>
              <w:t>2027</w:t>
            </w:r>
          </w:p>
        </w:tc>
        <w:tc>
          <w:tcPr>
            <w:tcW w:type="dxa" w:w="1170"/>
          </w:tcPr>
          <w:p>
            <w:r>
              <w:rPr>
                <w:sz w:val="14"/>
              </w:rPr>
              <w:t>https://insidethedatacenter.com/articles/virginia-data-cente</w:t>
            </w:r>
          </w:p>
        </w:tc>
      </w:tr>
      <w:tr>
        <w:trPr>
          <w:cantSplit w:val="true"/>
        </w:trPr>
        <w:tc>
          <w:tcPr>
            <w:tcW w:type="dxa" w:w="1170"/>
          </w:tcPr>
          <w:p>
            <w:r>
              <w:rPr>
                <w:sz w:val="14"/>
              </w:rPr>
              <w:t>P008</w:t>
            </w:r>
          </w:p>
        </w:tc>
        <w:tc>
          <w:tcPr>
            <w:tcW w:type="dxa" w:w="1170"/>
          </w:tcPr>
          <w:p>
            <w:r>
              <w:rPr>
                <w:sz w:val="14"/>
              </w:rPr>
              <w:t>Tuckahoe Technology Park</w:t>
            </w:r>
          </w:p>
        </w:tc>
        <w:tc>
          <w:tcPr>
            <w:tcW w:type="dxa" w:w="1170"/>
          </w:tcPr>
          <w:p>
            <w:r>
              <w:rPr>
                <w:sz w:val="14"/>
              </w:rPr>
              <w:t>Tract</w:t>
            </w:r>
          </w:p>
        </w:tc>
        <w:tc>
          <w:tcPr>
            <w:tcW w:type="dxa" w:w="1170"/>
          </w:tcPr>
          <w:p>
            <w:r>
              <w:rPr>
                <w:sz w:val="14"/>
              </w:rPr>
              <w:t>Goochland</w:t>
            </w:r>
          </w:p>
        </w:tc>
        <w:tc>
          <w:tcPr>
            <w:tcW w:type="dxa" w:w="1170"/>
          </w:tcPr>
          <w:p>
            <w:r>
              <w:rPr>
                <w:sz w:val="14"/>
              </w:rPr>
              <w:t>900</w:t>
            </w:r>
          </w:p>
        </w:tc>
        <w:tc>
          <w:tcPr>
            <w:tcW w:type="dxa" w:w="1170"/>
          </w:tcPr>
          <w:p>
            <w:r>
              <w:rPr>
                <w:sz w:val="14"/>
              </w:rPr>
              <w:t>Announced</w:t>
            </w:r>
          </w:p>
        </w:tc>
        <w:tc>
          <w:tcPr>
            <w:tcW w:type="dxa" w:w="1170"/>
          </w:tcPr>
          <w:p>
            <w:r>
              <w:rPr>
                <w:sz w:val="14"/>
              </w:rPr>
              <w:t>2027</w:t>
            </w:r>
          </w:p>
        </w:tc>
        <w:tc>
          <w:tcPr>
            <w:tcW w:type="dxa" w:w="1170"/>
          </w:tcPr>
          <w:p>
            <w:r>
              <w:rPr>
                <w:sz w:val="14"/>
              </w:rPr>
              <w:t>https://insidethedatacenter.com/articles/virginia-data-cente</w:t>
            </w:r>
          </w:p>
        </w:tc>
      </w:tr>
      <w:tr>
        <w:trPr>
          <w:cantSplit w:val="true"/>
        </w:trPr>
        <w:tc>
          <w:tcPr>
            <w:tcW w:type="dxa" w:w="1170"/>
          </w:tcPr>
          <w:p>
            <w:r>
              <w:rPr>
                <w:sz w:val="14"/>
              </w:rPr>
              <w:t>P009</w:t>
            </w:r>
          </w:p>
        </w:tc>
        <w:tc>
          <w:tcPr>
            <w:tcW w:type="dxa" w:w="1170"/>
          </w:tcPr>
          <w:p>
            <w:r>
              <w:rPr>
                <w:sz w:val="14"/>
              </w:rPr>
              <w:t>Powhatan Data Center Campus</w:t>
            </w:r>
          </w:p>
        </w:tc>
        <w:tc>
          <w:tcPr>
            <w:tcW w:type="dxa" w:w="1170"/>
          </w:tcPr>
          <w:p>
            <w:r>
              <w:rPr>
                <w:sz w:val="14"/>
              </w:rPr>
              <w:t>Province Group</w:t>
            </w:r>
          </w:p>
        </w:tc>
        <w:tc>
          <w:tcPr>
            <w:tcW w:type="dxa" w:w="1170"/>
          </w:tcPr>
          <w:p>
            <w:r>
              <w:rPr>
                <w:sz w:val="14"/>
              </w:rPr>
              <w:t>Powhatan</w:t>
            </w:r>
          </w:p>
        </w:tc>
        <w:tc>
          <w:tcPr>
            <w:tcW w:type="dxa" w:w="1170"/>
          </w:tcPr>
          <w:p>
            <w:r>
              <w:rPr>
                <w:sz w:val="14"/>
              </w:rPr>
              <w:t>350</w:t>
            </w:r>
          </w:p>
        </w:tc>
        <w:tc>
          <w:tcPr>
            <w:tcW w:type="dxa" w:w="1170"/>
          </w:tcPr>
          <w:p>
            <w:r>
              <w:rPr>
                <w:sz w:val="14"/>
              </w:rPr>
              <w:t>Zoned</w:t>
            </w:r>
          </w:p>
        </w:tc>
        <w:tc>
          <w:tcPr>
            <w:tcW w:type="dxa" w:w="1170"/>
          </w:tcPr>
          <w:p>
            <w:r>
              <w:rPr>
                <w:sz w:val="14"/>
              </w:rPr>
              <w:t>2027</w:t>
            </w:r>
          </w:p>
        </w:tc>
        <w:tc>
          <w:tcPr>
            <w:tcW w:type="dxa" w:w="1170"/>
          </w:tcPr>
          <w:p>
            <w:r>
              <w:rPr>
                <w:sz w:val="14"/>
              </w:rPr>
              <w:t>https://insidethedatacenter.com/articles/virginia-data-cente</w:t>
            </w:r>
          </w:p>
        </w:tc>
      </w:tr>
      <w:tr>
        <w:trPr>
          <w:cantSplit w:val="true"/>
        </w:trPr>
        <w:tc>
          <w:tcPr>
            <w:tcW w:type="dxa" w:w="1170"/>
          </w:tcPr>
          <w:p>
            <w:r>
              <w:rPr>
                <w:sz w:val="14"/>
              </w:rPr>
              <w:t>P010</w:t>
            </w:r>
          </w:p>
        </w:tc>
        <w:tc>
          <w:tcPr>
            <w:tcW w:type="dxa" w:w="1170"/>
          </w:tcPr>
          <w:p>
            <w:r>
              <w:rPr>
                <w:sz w:val="14"/>
              </w:rPr>
              <w:t>Culpeper Technology Zone campus (expansion)</w:t>
            </w:r>
          </w:p>
        </w:tc>
        <w:tc>
          <w:tcPr>
            <w:tcW w:type="dxa" w:w="1170"/>
          </w:tcPr>
          <w:p>
            <w:r>
              <w:rPr>
                <w:sz w:val="14"/>
              </w:rPr>
              <w:t>EdgeCore</w:t>
            </w:r>
          </w:p>
        </w:tc>
        <w:tc>
          <w:tcPr>
            <w:tcW w:type="dxa" w:w="1170"/>
          </w:tcPr>
          <w:p>
            <w:r>
              <w:rPr>
                <w:sz w:val="14"/>
              </w:rPr>
              <w:t>Culpeper</w:t>
            </w:r>
          </w:p>
        </w:tc>
        <w:tc>
          <w:tcPr>
            <w:tcW w:type="dxa" w:w="1170"/>
          </w:tcPr>
          <w:p>
            <w:r>
              <w:rPr>
                <w:sz w:val="14"/>
              </w:rPr>
              <w:t>236</w:t>
            </w:r>
          </w:p>
        </w:tc>
        <w:tc>
          <w:tcPr>
            <w:tcW w:type="dxa" w:w="1170"/>
          </w:tcPr>
          <w:p>
            <w:r>
              <w:rPr>
                <w:sz w:val="14"/>
              </w:rPr>
              <w:t>Announced</w:t>
            </w:r>
          </w:p>
        </w:tc>
        <w:tc>
          <w:tcPr>
            <w:tcW w:type="dxa" w:w="1170"/>
          </w:tcPr>
          <w:p>
            <w:r>
              <w:rPr>
                <w:sz w:val="14"/>
              </w:rPr>
              <w:t>2027</w:t>
            </w:r>
          </w:p>
        </w:tc>
        <w:tc>
          <w:tcPr>
            <w:tcW w:type="dxa" w:w="1170"/>
          </w:tcPr>
          <w:p>
            <w:r>
              <w:rPr>
                <w:sz w:val="14"/>
              </w:rPr>
              <w:t>https://insidethedatacenter.com/articles/virginia-data-cente</w:t>
            </w:r>
          </w:p>
        </w:tc>
      </w:tr>
      <w:tr>
        <w:trPr>
          <w:cantSplit w:val="true"/>
        </w:trPr>
        <w:tc>
          <w:tcPr>
            <w:tcW w:type="dxa" w:w="1170"/>
          </w:tcPr>
          <w:p>
            <w:r>
              <w:rPr>
                <w:sz w:val="14"/>
              </w:rPr>
              <w:t>P011</w:t>
            </w:r>
          </w:p>
        </w:tc>
        <w:tc>
          <w:tcPr>
            <w:tcW w:type="dxa" w:w="1170"/>
          </w:tcPr>
          <w:p>
            <w:r>
              <w:rPr>
                <w:sz w:val="14"/>
              </w:rPr>
              <w:t>Upper Magnolia Green data center</w:t>
            </w:r>
          </w:p>
        </w:tc>
        <w:tc>
          <w:tcPr>
            <w:tcW w:type="dxa" w:w="1170"/>
          </w:tcPr>
          <w:p>
            <w:r>
              <w:rPr>
                <w:sz w:val="14"/>
              </w:rPr>
              <w:t>Google</w:t>
            </w:r>
          </w:p>
        </w:tc>
        <w:tc>
          <w:tcPr>
            <w:tcW w:type="dxa" w:w="1170"/>
          </w:tcPr>
          <w:p>
            <w:r>
              <w:rPr>
                <w:sz w:val="14"/>
              </w:rPr>
              <w:t>Chesterfield</w:t>
            </w:r>
          </w:p>
        </w:tc>
        <w:tc>
          <w:tcPr>
            <w:tcW w:type="dxa" w:w="1170"/>
          </w:tcPr>
          <w:p>
            <w:r>
              <w:rPr>
                <w:sz w:val="14"/>
              </w:rPr>
              <w:t>900</w:t>
            </w:r>
          </w:p>
        </w:tc>
        <w:tc>
          <w:tcPr>
            <w:tcW w:type="dxa" w:w="1170"/>
          </w:tcPr>
          <w:p>
            <w:r>
              <w:rPr>
                <w:sz w:val="14"/>
              </w:rPr>
              <w:t>Zoned</w:t>
            </w:r>
          </w:p>
        </w:tc>
        <w:tc>
          <w:tcPr>
            <w:tcW w:type="dxa" w:w="1170"/>
          </w:tcPr>
          <w:p>
            <w:r>
              <w:rPr>
                <w:sz w:val="14"/>
              </w:rPr>
              <w:t>2031</w:t>
            </w:r>
          </w:p>
        </w:tc>
        <w:tc>
          <w:tcPr>
            <w:tcW w:type="dxa" w:w="1170"/>
          </w:tcPr>
          <w:p>
            <w:r>
              <w:rPr>
                <w:sz w:val="14"/>
              </w:rPr>
              <w:t>https://www.datacenterdynamics.com/en/news/dominion-to-build</w:t>
            </w:r>
          </w:p>
        </w:tc>
      </w:tr>
      <w:tr>
        <w:trPr>
          <w:cantSplit w:val="true"/>
        </w:trPr>
        <w:tc>
          <w:tcPr>
            <w:tcW w:type="dxa" w:w="1170"/>
          </w:tcPr>
          <w:p>
            <w:r>
              <w:rPr>
                <w:sz w:val="14"/>
              </w:rPr>
              <w:t>P012</w:t>
            </w:r>
          </w:p>
        </w:tc>
        <w:tc>
          <w:tcPr>
            <w:tcW w:type="dxa" w:w="1170"/>
          </w:tcPr>
          <w:p>
            <w:r>
              <w:rPr>
                <w:sz w:val="14"/>
              </w:rPr>
              <w:t>TA Realty Loudoun campus</w:t>
            </w:r>
          </w:p>
        </w:tc>
        <w:tc>
          <w:tcPr>
            <w:tcW w:type="dxa" w:w="1170"/>
          </w:tcPr>
          <w:p>
            <w:r>
              <w:rPr>
                <w:sz w:val="14"/>
              </w:rPr>
              <w:t>TA Realty</w:t>
            </w:r>
          </w:p>
        </w:tc>
        <w:tc>
          <w:tcPr>
            <w:tcW w:type="dxa" w:w="1170"/>
          </w:tcPr>
          <w:p>
            <w:r>
              <w:rPr>
                <w:sz w:val="14"/>
              </w:rPr>
              <w:t>Loudoun</w:t>
            </w:r>
          </w:p>
        </w:tc>
        <w:tc>
          <w:tcPr>
            <w:tcW w:type="dxa" w:w="1170"/>
          </w:tcPr>
          <w:p>
            <w:r>
              <w:rPr>
                <w:sz w:val="14"/>
              </w:rPr>
              <w:t>430</w:t>
            </w:r>
          </w:p>
        </w:tc>
        <w:tc>
          <w:tcPr>
            <w:tcW w:type="dxa" w:w="1170"/>
          </w:tcPr>
          <w:p>
            <w:r>
              <w:rPr>
                <w:sz w:val="14"/>
              </w:rPr>
              <w:t>Announced</w:t>
            </w:r>
          </w:p>
        </w:tc>
        <w:tc>
          <w:tcPr>
            <w:tcW w:type="dxa" w:w="1170"/>
          </w:tcPr>
          <w:p>
            <w:r>
              <w:rPr>
                <w:sz w:val="14"/>
              </w:rPr>
              <w:t>2027</w:t>
            </w:r>
          </w:p>
        </w:tc>
        <w:tc>
          <w:tcPr>
            <w:tcW w:type="dxa" w:w="1170"/>
          </w:tcPr>
          <w:p>
            <w:r>
              <w:rPr>
                <w:sz w:val="14"/>
              </w:rPr>
              <w:t>https://www.intelligentcio.com/north-america/?p=33477</w:t>
            </w:r>
          </w:p>
        </w:tc>
      </w:tr>
      <w:tr>
        <w:trPr>
          <w:cantSplit w:val="true"/>
        </w:trPr>
        <w:tc>
          <w:tcPr>
            <w:tcW w:type="dxa" w:w="1170"/>
          </w:tcPr>
          <w:p>
            <w:r>
              <w:rPr>
                <w:sz w:val="14"/>
              </w:rPr>
              <w:t>P013</w:t>
            </w:r>
          </w:p>
        </w:tc>
        <w:tc>
          <w:tcPr>
            <w:tcW w:type="dxa" w:w="1170"/>
          </w:tcPr>
          <w:p>
            <w:r>
              <w:rPr>
                <w:sz w:val="14"/>
              </w:rPr>
              <w:t>STACK Ashburn</w:t>
            </w:r>
          </w:p>
        </w:tc>
        <w:tc>
          <w:tcPr>
            <w:tcW w:type="dxa" w:w="1170"/>
          </w:tcPr>
          <w:p>
            <w:r>
              <w:rPr>
                <w:sz w:val="14"/>
              </w:rPr>
              <w:t>STACK Infrastructure</w:t>
            </w:r>
          </w:p>
        </w:tc>
        <w:tc>
          <w:tcPr>
            <w:tcW w:type="dxa" w:w="1170"/>
          </w:tcPr>
          <w:p>
            <w:r>
              <w:rPr>
                <w:sz w:val="14"/>
              </w:rPr>
              <w:t>Loudoun</w:t>
            </w:r>
          </w:p>
        </w:tc>
        <w:tc>
          <w:tcPr>
            <w:tcW w:type="dxa" w:w="1170"/>
          </w:tcPr>
          <w:p>
            <w:r>
              <w:rPr>
                <w:sz w:val="14"/>
              </w:rPr>
              <w:t>144</w:t>
            </w:r>
          </w:p>
        </w:tc>
        <w:tc>
          <w:tcPr>
            <w:tcW w:type="dxa" w:w="1170"/>
          </w:tcPr>
          <w:p>
            <w:r>
              <w:rPr>
                <w:sz w:val="14"/>
              </w:rPr>
              <w:t>Announced</w:t>
            </w:r>
          </w:p>
        </w:tc>
        <w:tc>
          <w:tcPr>
            <w:tcW w:type="dxa" w:w="1170"/>
          </w:tcPr>
          <w:p>
            <w:r>
              <w:rPr>
                <w:sz w:val="14"/>
              </w:rPr>
              <w:t>2026</w:t>
            </w:r>
          </w:p>
        </w:tc>
        <w:tc>
          <w:tcPr>
            <w:tcW w:type="dxa" w:w="1170"/>
          </w:tcPr>
          <w:p>
            <w:r>
              <w:rPr>
                <w:sz w:val="14"/>
              </w:rPr>
              <w:t>https://www.blackridgeresearch.com/blog/list-of-largest-upco</w:t>
            </w:r>
          </w:p>
        </w:tc>
      </w:tr>
      <w:tr>
        <w:trPr>
          <w:cantSplit w:val="true"/>
        </w:trPr>
        <w:tc>
          <w:tcPr>
            <w:tcW w:type="dxa" w:w="1170"/>
          </w:tcPr>
          <w:p>
            <w:r>
              <w:rPr>
                <w:sz w:val="14"/>
              </w:rPr>
              <w:t>P014</w:t>
            </w:r>
          </w:p>
        </w:tc>
        <w:tc>
          <w:tcPr>
            <w:tcW w:type="dxa" w:w="1170"/>
          </w:tcPr>
          <w:p>
            <w:r>
              <w:rPr>
                <w:sz w:val="14"/>
              </w:rPr>
              <w:t>NVA-06 Leesburg</w:t>
            </w:r>
          </w:p>
        </w:tc>
        <w:tc>
          <w:tcPr>
            <w:tcW w:type="dxa" w:w="1170"/>
          </w:tcPr>
          <w:p>
            <w:r>
              <w:rPr>
                <w:sz w:val="14"/>
              </w:rPr>
              <w:t>STACK Infrastructure</w:t>
            </w:r>
          </w:p>
        </w:tc>
        <w:tc>
          <w:tcPr>
            <w:tcW w:type="dxa" w:w="1170"/>
          </w:tcPr>
          <w:p>
            <w:r>
              <w:rPr>
                <w:sz w:val="14"/>
              </w:rPr>
              <w:t>Loudoun</w:t>
            </w:r>
          </w:p>
        </w:tc>
        <w:tc>
          <w:tcPr>
            <w:tcW w:type="dxa" w:w="1170"/>
          </w:tcPr>
          <w:p>
            <w:r>
              <w:rPr>
                <w:sz w:val="14"/>
              </w:rPr>
              <w:t>72</w:t>
            </w:r>
          </w:p>
        </w:tc>
        <w:tc>
          <w:tcPr>
            <w:tcW w:type="dxa" w:w="1170"/>
          </w:tcPr>
          <w:p>
            <w:r>
              <w:rPr>
                <w:sz w:val="14"/>
              </w:rPr>
              <w:t>Under construction</w:t>
            </w:r>
          </w:p>
        </w:tc>
        <w:tc>
          <w:tcPr>
            <w:tcW w:type="dxa" w:w="1170"/>
          </w:tcPr>
          <w:p>
            <w:r>
              <w:rPr>
                <w:sz w:val="14"/>
              </w:rPr>
              <w:t>2026</w:t>
            </w:r>
          </w:p>
        </w:tc>
        <w:tc>
          <w:tcPr>
            <w:tcW w:type="dxa" w:w="1170"/>
          </w:tcPr>
          <w:p>
            <w:r>
              <w:rPr>
                <w:sz w:val="14"/>
              </w:rPr>
              <w:t>https://www.blackridgeresearch.com/blog/list-of-largest-upco</w:t>
            </w:r>
          </w:p>
        </w:tc>
      </w:tr>
      <w:tr>
        <w:trPr>
          <w:cantSplit w:val="true"/>
        </w:trPr>
        <w:tc>
          <w:tcPr>
            <w:tcW w:type="dxa" w:w="1170"/>
          </w:tcPr>
          <w:p>
            <w:r>
              <w:rPr>
                <w:sz w:val="14"/>
              </w:rPr>
              <w:t>P015</w:t>
            </w:r>
          </w:p>
        </w:tc>
        <w:tc>
          <w:tcPr>
            <w:tcW w:type="dxa" w:w="1170"/>
          </w:tcPr>
          <w:p>
            <w:r>
              <w:rPr>
                <w:sz w:val="14"/>
              </w:rPr>
              <w:t>Gainesville Crossing (building under construction)</w:t>
            </w:r>
          </w:p>
        </w:tc>
        <w:tc>
          <w:tcPr>
            <w:tcW w:type="dxa" w:w="1170"/>
          </w:tcPr>
          <w:p>
            <w:r>
              <w:rPr>
                <w:sz w:val="14"/>
              </w:rPr>
              <w:t>Corscale</w:t>
            </w:r>
          </w:p>
        </w:tc>
        <w:tc>
          <w:tcPr>
            <w:tcW w:type="dxa" w:w="1170"/>
          </w:tcPr>
          <w:p>
            <w:r>
              <w:rPr>
                <w:sz w:val="14"/>
              </w:rPr>
              <w:t>Prince William</w:t>
            </w:r>
          </w:p>
        </w:tc>
        <w:tc>
          <w:tcPr>
            <w:tcW w:type="dxa" w:w="1170"/>
          </w:tcPr>
          <w:p>
            <w:r>
              <w:rPr>
                <w:sz w:val="14"/>
              </w:rPr>
              <w:t>54</w:t>
            </w:r>
          </w:p>
        </w:tc>
        <w:tc>
          <w:tcPr>
            <w:tcW w:type="dxa" w:w="1170"/>
          </w:tcPr>
          <w:p>
            <w:r>
              <w:rPr>
                <w:sz w:val="14"/>
              </w:rPr>
              <w:t>Under construction</w:t>
            </w:r>
          </w:p>
        </w:tc>
        <w:tc>
          <w:tcPr>
            <w:tcW w:type="dxa" w:w="1170"/>
          </w:tcPr>
          <w:p>
            <w:r>
              <w:rPr>
                <w:sz w:val="14"/>
              </w:rPr>
              <w:t>2025</w:t>
            </w:r>
          </w:p>
        </w:tc>
        <w:tc>
          <w:tcPr>
            <w:tcW w:type="dxa" w:w="1170"/>
          </w:tcPr>
          <w:p>
            <w:r>
              <w:rPr>
                <w:sz w:val="14"/>
              </w:rPr>
              <w:t>https://www.blackridgeresearch.com/blog/list-of-largest-upco</w:t>
            </w:r>
          </w:p>
        </w:tc>
      </w:tr>
      <w:tr>
        <w:trPr>
          <w:cantSplit w:val="true"/>
        </w:trPr>
        <w:tc>
          <w:tcPr>
            <w:tcW w:type="dxa" w:w="1170"/>
          </w:tcPr>
          <w:p>
            <w:r>
              <w:rPr>
                <w:sz w:val="14"/>
              </w:rPr>
              <w:t>P016</w:t>
            </w:r>
          </w:p>
        </w:tc>
        <w:tc>
          <w:tcPr>
            <w:tcW w:type="dxa" w:w="1170"/>
          </w:tcPr>
          <w:p>
            <w:r>
              <w:rPr>
                <w:sz w:val="14"/>
              </w:rPr>
              <w:t>Gainesville Crossing (remainder of campus)</w:t>
            </w:r>
          </w:p>
        </w:tc>
        <w:tc>
          <w:tcPr>
            <w:tcW w:type="dxa" w:w="1170"/>
          </w:tcPr>
          <w:p>
            <w:r>
              <w:rPr>
                <w:sz w:val="14"/>
              </w:rPr>
              <w:t>Corscale</w:t>
            </w:r>
          </w:p>
        </w:tc>
        <w:tc>
          <w:tcPr>
            <w:tcW w:type="dxa" w:w="1170"/>
          </w:tcPr>
          <w:p>
            <w:r>
              <w:rPr>
                <w:sz w:val="14"/>
              </w:rPr>
              <w:t>Prince William</w:t>
            </w:r>
          </w:p>
        </w:tc>
        <w:tc>
          <w:tcPr>
            <w:tcW w:type="dxa" w:w="1170"/>
          </w:tcPr>
          <w:p>
            <w:r>
              <w:rPr>
                <w:sz w:val="14"/>
              </w:rPr>
              <w:t>271</w:t>
            </w:r>
          </w:p>
        </w:tc>
        <w:tc>
          <w:tcPr>
            <w:tcW w:type="dxa" w:w="1170"/>
          </w:tcPr>
          <w:p>
            <w:r>
              <w:rPr>
                <w:sz w:val="14"/>
              </w:rPr>
              <w:t>Announced</w:t>
            </w:r>
          </w:p>
        </w:tc>
        <w:tc>
          <w:tcPr>
            <w:tcW w:type="dxa" w:w="1170"/>
          </w:tcPr>
          <w:p>
            <w:r>
              <w:rPr>
                <w:sz w:val="14"/>
              </w:rPr>
              <w:t>2027</w:t>
            </w:r>
          </w:p>
        </w:tc>
        <w:tc>
          <w:tcPr>
            <w:tcW w:type="dxa" w:w="1170"/>
          </w:tcPr>
          <w:p>
            <w:r>
              <w:rPr>
                <w:sz w:val="14"/>
              </w:rPr>
              <w:t>https://www.blackridgeresearch.com/blog/list-of-largest-upco</w:t>
            </w:r>
          </w:p>
        </w:tc>
      </w:tr>
      <w:tr>
        <w:trPr>
          <w:cantSplit w:val="true"/>
        </w:trPr>
        <w:tc>
          <w:tcPr>
            <w:tcW w:type="dxa" w:w="1170"/>
          </w:tcPr>
          <w:p>
            <w:r>
              <w:rPr>
                <w:sz w:val="14"/>
              </w:rPr>
              <w:t>AGG-ESA-001</w:t>
            </w:r>
          </w:p>
        </w:tc>
        <w:tc>
          <w:tcPr>
            <w:tcW w:type="dxa" w:w="1170"/>
          </w:tcPr>
          <w:p>
            <w:r>
              <w:rPr>
                <w:sz w:val="14"/>
              </w:rPr>
              <w:t>Dominion ESA aggregate (unnamed) 2027-1</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2027</w:t>
            </w:r>
          </w:p>
        </w:tc>
        <w:tc>
          <w:tcPr>
            <w:tcW w:type="dxa" w:w="1170"/>
          </w:tcPr>
          <w:p>
            <w:r>
              <w:rPr>
                <w:sz w:val="14"/>
              </w:rPr>
              <w:t>https://www.investing.com/news/company-news/dominion-q2-2026</w:t>
            </w:r>
          </w:p>
        </w:tc>
      </w:tr>
      <w:tr>
        <w:trPr>
          <w:cantSplit w:val="true"/>
        </w:trPr>
        <w:tc>
          <w:tcPr>
            <w:tcW w:type="dxa" w:w="1170"/>
          </w:tcPr>
          <w:p>
            <w:r>
              <w:rPr>
                <w:sz w:val="14"/>
              </w:rPr>
              <w:t>AGG-ESA-002</w:t>
            </w:r>
          </w:p>
        </w:tc>
        <w:tc>
          <w:tcPr>
            <w:tcW w:type="dxa" w:w="1170"/>
          </w:tcPr>
          <w:p>
            <w:r>
              <w:rPr>
                <w:sz w:val="14"/>
              </w:rPr>
              <w:t>Dominion ESA aggregate (unnamed) 2027-2</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2027</w:t>
            </w:r>
          </w:p>
        </w:tc>
        <w:tc>
          <w:tcPr>
            <w:tcW w:type="dxa" w:w="1170"/>
          </w:tcPr>
          <w:p>
            <w:r>
              <w:rPr>
                <w:sz w:val="14"/>
              </w:rPr>
              <w:t>https://www.investing.com/news/company-news/dominion-q2-2026</w:t>
            </w:r>
          </w:p>
        </w:tc>
      </w:tr>
      <w:tr>
        <w:trPr>
          <w:cantSplit w:val="true"/>
        </w:trPr>
        <w:tc>
          <w:tcPr>
            <w:tcW w:type="dxa" w:w="1170"/>
          </w:tcPr>
          <w:p>
            <w:r>
              <w:rPr>
                <w:sz w:val="14"/>
              </w:rPr>
              <w:t>AGG-ESA-003</w:t>
            </w:r>
          </w:p>
        </w:tc>
        <w:tc>
          <w:tcPr>
            <w:tcW w:type="dxa" w:w="1170"/>
          </w:tcPr>
          <w:p>
            <w:r>
              <w:rPr>
                <w:sz w:val="14"/>
              </w:rPr>
              <w:t>Dominion ESA aggregate (unnamed) 2027-3</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2027</w:t>
            </w:r>
          </w:p>
        </w:tc>
        <w:tc>
          <w:tcPr>
            <w:tcW w:type="dxa" w:w="1170"/>
          </w:tcPr>
          <w:p>
            <w:r>
              <w:rPr>
                <w:sz w:val="14"/>
              </w:rPr>
              <w:t>https://www.investing.com/news/company-news/dominion-q2-2026</w:t>
            </w:r>
          </w:p>
        </w:tc>
      </w:tr>
      <w:tr>
        <w:trPr>
          <w:cantSplit w:val="true"/>
        </w:trPr>
        <w:tc>
          <w:tcPr>
            <w:tcW w:type="dxa" w:w="1170"/>
          </w:tcPr>
          <w:p>
            <w:r>
              <w:rPr>
                <w:sz w:val="14"/>
              </w:rPr>
              <w:t>AGG-ESA-004</w:t>
            </w:r>
          </w:p>
        </w:tc>
        <w:tc>
          <w:tcPr>
            <w:tcW w:type="dxa" w:w="1170"/>
          </w:tcPr>
          <w:p>
            <w:r>
              <w:rPr>
                <w:sz w:val="14"/>
              </w:rPr>
              <w:t>Dominion ESA aggregate (unnamed) 2027-4</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2027</w:t>
            </w:r>
          </w:p>
        </w:tc>
        <w:tc>
          <w:tcPr>
            <w:tcW w:type="dxa" w:w="1170"/>
          </w:tcPr>
          <w:p>
            <w:r>
              <w:rPr>
                <w:sz w:val="14"/>
              </w:rPr>
              <w:t>https://www.investing.com/news/company-news/dominion-q2-2026</w:t>
            </w:r>
          </w:p>
        </w:tc>
      </w:tr>
      <w:tr>
        <w:trPr>
          <w:cantSplit w:val="true"/>
        </w:trPr>
        <w:tc>
          <w:tcPr>
            <w:tcW w:type="dxa" w:w="1170"/>
          </w:tcPr>
          <w:p>
            <w:r>
              <w:rPr>
                <w:sz w:val="14"/>
              </w:rPr>
              <w:t>AGG-ESA-005</w:t>
            </w:r>
          </w:p>
        </w:tc>
        <w:tc>
          <w:tcPr>
            <w:tcW w:type="dxa" w:w="1170"/>
          </w:tcPr>
          <w:p>
            <w:r>
              <w:rPr>
                <w:sz w:val="14"/>
              </w:rPr>
              <w:t>Dominion ESA aggregate (unnamed) 2027-5</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2027</w:t>
            </w:r>
          </w:p>
        </w:tc>
        <w:tc>
          <w:tcPr>
            <w:tcW w:type="dxa" w:w="1170"/>
          </w:tcPr>
          <w:p>
            <w:r>
              <w:rPr>
                <w:sz w:val="14"/>
              </w:rPr>
              <w:t>https://www.investing.com/news/company-news/dominion-q2-2026</w:t>
            </w:r>
          </w:p>
        </w:tc>
      </w:tr>
      <w:tr>
        <w:trPr>
          <w:cantSplit w:val="true"/>
        </w:trPr>
        <w:tc>
          <w:tcPr>
            <w:tcW w:type="dxa" w:w="1170"/>
          </w:tcPr>
          <w:p>
            <w:r>
              <w:rPr>
                <w:sz w:val="14"/>
              </w:rPr>
              <w:t>AGG-ESA-006</w:t>
            </w:r>
          </w:p>
        </w:tc>
        <w:tc>
          <w:tcPr>
            <w:tcW w:type="dxa" w:w="1170"/>
          </w:tcPr>
          <w:p>
            <w:r>
              <w:rPr>
                <w:sz w:val="14"/>
              </w:rPr>
              <w:t>Dominion ESA aggregate (unnamed) 2027-6</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2027</w:t>
            </w:r>
          </w:p>
        </w:tc>
        <w:tc>
          <w:tcPr>
            <w:tcW w:type="dxa" w:w="1170"/>
          </w:tcPr>
          <w:p>
            <w:r>
              <w:rPr>
                <w:sz w:val="14"/>
              </w:rPr>
              <w:t>https://www.investing.com/news/company-news/dominion-q2-2026</w:t>
            </w:r>
          </w:p>
        </w:tc>
      </w:tr>
      <w:tr>
        <w:trPr>
          <w:cantSplit w:val="true"/>
        </w:trPr>
        <w:tc>
          <w:tcPr>
            <w:tcW w:type="dxa" w:w="1170"/>
          </w:tcPr>
          <w:p>
            <w:r>
              <w:rPr>
                <w:sz w:val="14"/>
              </w:rPr>
              <w:t>AGG-ESA-007</w:t>
            </w:r>
          </w:p>
        </w:tc>
        <w:tc>
          <w:tcPr>
            <w:tcW w:type="dxa" w:w="1170"/>
          </w:tcPr>
          <w:p>
            <w:r>
              <w:rPr>
                <w:sz w:val="14"/>
              </w:rPr>
              <w:t>Dominion ESA aggregate (unnamed) 2028-1</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2028</w:t>
            </w:r>
          </w:p>
        </w:tc>
        <w:tc>
          <w:tcPr>
            <w:tcW w:type="dxa" w:w="1170"/>
          </w:tcPr>
          <w:p>
            <w:r>
              <w:rPr>
                <w:sz w:val="14"/>
              </w:rPr>
              <w:t>https://www.investing.com/news/company-news/dominion-q2-2026</w:t>
            </w:r>
          </w:p>
        </w:tc>
      </w:tr>
      <w:tr>
        <w:trPr>
          <w:cantSplit w:val="true"/>
        </w:trPr>
        <w:tc>
          <w:tcPr>
            <w:tcW w:type="dxa" w:w="1170"/>
          </w:tcPr>
          <w:p>
            <w:r>
              <w:rPr>
                <w:sz w:val="14"/>
              </w:rPr>
              <w:t>AGG-ESA-008</w:t>
            </w:r>
          </w:p>
        </w:tc>
        <w:tc>
          <w:tcPr>
            <w:tcW w:type="dxa" w:w="1170"/>
          </w:tcPr>
          <w:p>
            <w:r>
              <w:rPr>
                <w:sz w:val="14"/>
              </w:rPr>
              <w:t>Dominion ESA aggregate (unnamed) 2028-2</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2028</w:t>
            </w:r>
          </w:p>
        </w:tc>
        <w:tc>
          <w:tcPr>
            <w:tcW w:type="dxa" w:w="1170"/>
          </w:tcPr>
          <w:p>
            <w:r>
              <w:rPr>
                <w:sz w:val="14"/>
              </w:rPr>
              <w:t>https://www.investing.com/news/company-news/dominion-q2-2026</w:t>
            </w:r>
          </w:p>
        </w:tc>
      </w:tr>
      <w:tr>
        <w:trPr>
          <w:cantSplit w:val="true"/>
        </w:trPr>
        <w:tc>
          <w:tcPr>
            <w:tcW w:type="dxa" w:w="1170"/>
          </w:tcPr>
          <w:p>
            <w:r>
              <w:rPr>
                <w:sz w:val="14"/>
              </w:rPr>
              <w:t>AGG-ESA-009</w:t>
            </w:r>
          </w:p>
        </w:tc>
        <w:tc>
          <w:tcPr>
            <w:tcW w:type="dxa" w:w="1170"/>
          </w:tcPr>
          <w:p>
            <w:r>
              <w:rPr>
                <w:sz w:val="14"/>
              </w:rPr>
              <w:t>Dominion ESA aggregate (unnamed) 2028-3</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2028</w:t>
            </w:r>
          </w:p>
        </w:tc>
        <w:tc>
          <w:tcPr>
            <w:tcW w:type="dxa" w:w="1170"/>
          </w:tcPr>
          <w:p>
            <w:r>
              <w:rPr>
                <w:sz w:val="14"/>
              </w:rPr>
              <w:t>https://www.investing.com/news/company-news/dominion-q2-2026</w:t>
            </w:r>
          </w:p>
        </w:tc>
      </w:tr>
      <w:tr>
        <w:trPr>
          <w:cantSplit w:val="true"/>
        </w:trPr>
        <w:tc>
          <w:tcPr>
            <w:tcW w:type="dxa" w:w="1170"/>
          </w:tcPr>
          <w:p>
            <w:r>
              <w:rPr>
                <w:sz w:val="14"/>
              </w:rPr>
              <w:t>AGG-ESA-010</w:t>
            </w:r>
          </w:p>
        </w:tc>
        <w:tc>
          <w:tcPr>
            <w:tcW w:type="dxa" w:w="1170"/>
          </w:tcPr>
          <w:p>
            <w:r>
              <w:rPr>
                <w:sz w:val="14"/>
              </w:rPr>
              <w:t>Dominion ESA aggregate (unnamed) 2028-4</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2028</w:t>
            </w:r>
          </w:p>
        </w:tc>
        <w:tc>
          <w:tcPr>
            <w:tcW w:type="dxa" w:w="1170"/>
          </w:tcPr>
          <w:p>
            <w:r>
              <w:rPr>
                <w:sz w:val="14"/>
              </w:rPr>
              <w:t>https://www.investing.com/news/company-news/dominion-q2-2026</w:t>
            </w:r>
          </w:p>
        </w:tc>
      </w:tr>
      <w:tr>
        <w:trPr>
          <w:cantSplit w:val="true"/>
        </w:trPr>
        <w:tc>
          <w:tcPr>
            <w:tcW w:type="dxa" w:w="1170"/>
          </w:tcPr>
          <w:p>
            <w:r>
              <w:rPr>
                <w:sz w:val="14"/>
              </w:rPr>
              <w:t>AGG-ESA-011</w:t>
            </w:r>
          </w:p>
        </w:tc>
        <w:tc>
          <w:tcPr>
            <w:tcW w:type="dxa" w:w="1170"/>
          </w:tcPr>
          <w:p>
            <w:r>
              <w:rPr>
                <w:sz w:val="14"/>
              </w:rPr>
              <w:t>Dominion ESA aggregate (unnamed) 2028-5</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2028</w:t>
            </w:r>
          </w:p>
        </w:tc>
        <w:tc>
          <w:tcPr>
            <w:tcW w:type="dxa" w:w="1170"/>
          </w:tcPr>
          <w:p>
            <w:r>
              <w:rPr>
                <w:sz w:val="14"/>
              </w:rPr>
              <w:t>https://www.investing.com/news/company-news/dominion-q2-2026</w:t>
            </w:r>
          </w:p>
        </w:tc>
      </w:tr>
      <w:tr>
        <w:trPr>
          <w:cantSplit w:val="true"/>
        </w:trPr>
        <w:tc>
          <w:tcPr>
            <w:tcW w:type="dxa" w:w="1170"/>
          </w:tcPr>
          <w:p>
            <w:r>
              <w:rPr>
                <w:sz w:val="14"/>
              </w:rPr>
              <w:t>AGG-ESA-012</w:t>
            </w:r>
          </w:p>
        </w:tc>
        <w:tc>
          <w:tcPr>
            <w:tcW w:type="dxa" w:w="1170"/>
          </w:tcPr>
          <w:p>
            <w:r>
              <w:rPr>
                <w:sz w:val="14"/>
              </w:rPr>
              <w:t>Dominion ESA aggregate (unnamed) 2028-6</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2028</w:t>
            </w:r>
          </w:p>
        </w:tc>
        <w:tc>
          <w:tcPr>
            <w:tcW w:type="dxa" w:w="1170"/>
          </w:tcPr>
          <w:p>
            <w:r>
              <w:rPr>
                <w:sz w:val="14"/>
              </w:rPr>
              <w:t>https://www.investing.com/news/company-news/dominion-q2-2026</w:t>
            </w:r>
          </w:p>
        </w:tc>
      </w:tr>
      <w:tr>
        <w:trPr>
          <w:cantSplit w:val="true"/>
        </w:trPr>
        <w:tc>
          <w:tcPr>
            <w:tcW w:type="dxa" w:w="1170"/>
          </w:tcPr>
          <w:p>
            <w:r>
              <w:rPr>
                <w:sz w:val="14"/>
              </w:rPr>
              <w:t>AGG-ESA-013</w:t>
            </w:r>
          </w:p>
        </w:tc>
        <w:tc>
          <w:tcPr>
            <w:tcW w:type="dxa" w:w="1170"/>
          </w:tcPr>
          <w:p>
            <w:r>
              <w:rPr>
                <w:sz w:val="14"/>
              </w:rPr>
              <w:t>Dominion ESA aggregate (unnamed) 2029-1</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2029</w:t>
            </w:r>
          </w:p>
        </w:tc>
        <w:tc>
          <w:tcPr>
            <w:tcW w:type="dxa" w:w="1170"/>
          </w:tcPr>
          <w:p>
            <w:r>
              <w:rPr>
                <w:sz w:val="14"/>
              </w:rPr>
              <w:t>https://www.investing.com/news/company-news/dominion-q2-2026</w:t>
            </w:r>
          </w:p>
        </w:tc>
      </w:tr>
      <w:tr>
        <w:trPr>
          <w:cantSplit w:val="true"/>
        </w:trPr>
        <w:tc>
          <w:tcPr>
            <w:tcW w:type="dxa" w:w="1170"/>
          </w:tcPr>
          <w:p>
            <w:r>
              <w:rPr>
                <w:sz w:val="14"/>
              </w:rPr>
              <w:t>AGG-ESA-014</w:t>
            </w:r>
          </w:p>
        </w:tc>
        <w:tc>
          <w:tcPr>
            <w:tcW w:type="dxa" w:w="1170"/>
          </w:tcPr>
          <w:p>
            <w:r>
              <w:rPr>
                <w:sz w:val="14"/>
              </w:rPr>
              <w:t>Dominion ESA aggregate (unnamed) 2029-2</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2029</w:t>
            </w:r>
          </w:p>
        </w:tc>
        <w:tc>
          <w:tcPr>
            <w:tcW w:type="dxa" w:w="1170"/>
          </w:tcPr>
          <w:p>
            <w:r>
              <w:rPr>
                <w:sz w:val="14"/>
              </w:rPr>
              <w:t>https://www.investing.com/news/company-news/dominion-q2-2026</w:t>
            </w:r>
          </w:p>
        </w:tc>
      </w:tr>
      <w:tr>
        <w:trPr>
          <w:cantSplit w:val="true"/>
        </w:trPr>
        <w:tc>
          <w:tcPr>
            <w:tcW w:type="dxa" w:w="1170"/>
          </w:tcPr>
          <w:p>
            <w:r>
              <w:rPr>
                <w:sz w:val="14"/>
              </w:rPr>
              <w:t>AGG-ESA-015</w:t>
            </w:r>
          </w:p>
        </w:tc>
        <w:tc>
          <w:tcPr>
            <w:tcW w:type="dxa" w:w="1170"/>
          </w:tcPr>
          <w:p>
            <w:r>
              <w:rPr>
                <w:sz w:val="14"/>
              </w:rPr>
              <w:t>Dominion ESA aggregate (unnamed) 2029-3</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2029</w:t>
            </w:r>
          </w:p>
        </w:tc>
        <w:tc>
          <w:tcPr>
            <w:tcW w:type="dxa" w:w="1170"/>
          </w:tcPr>
          <w:p>
            <w:r>
              <w:rPr>
                <w:sz w:val="14"/>
              </w:rPr>
              <w:t>https://www.investing.com/news/company-news/dominion-q2-2026</w:t>
            </w:r>
          </w:p>
        </w:tc>
      </w:tr>
      <w:tr>
        <w:trPr>
          <w:cantSplit w:val="true"/>
        </w:trPr>
        <w:tc>
          <w:tcPr>
            <w:tcW w:type="dxa" w:w="1170"/>
          </w:tcPr>
          <w:p>
            <w:r>
              <w:rPr>
                <w:sz w:val="14"/>
              </w:rPr>
              <w:t>AGG-ESA-016</w:t>
            </w:r>
          </w:p>
        </w:tc>
        <w:tc>
          <w:tcPr>
            <w:tcW w:type="dxa" w:w="1170"/>
          </w:tcPr>
          <w:p>
            <w:r>
              <w:rPr>
                <w:sz w:val="14"/>
              </w:rPr>
              <w:t>Dominion ESA aggregate (unnamed) 2029-4</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2029</w:t>
            </w:r>
          </w:p>
        </w:tc>
        <w:tc>
          <w:tcPr>
            <w:tcW w:type="dxa" w:w="1170"/>
          </w:tcPr>
          <w:p>
            <w:r>
              <w:rPr>
                <w:sz w:val="14"/>
              </w:rPr>
              <w:t>https://www.investing.com/news/company-news/dominion-q2-2026</w:t>
            </w:r>
          </w:p>
        </w:tc>
      </w:tr>
      <w:tr>
        <w:trPr>
          <w:cantSplit w:val="true"/>
        </w:trPr>
        <w:tc>
          <w:tcPr>
            <w:tcW w:type="dxa" w:w="1170"/>
          </w:tcPr>
          <w:p>
            <w:r>
              <w:rPr>
                <w:sz w:val="14"/>
              </w:rPr>
              <w:t>AGG-ESA-017</w:t>
            </w:r>
          </w:p>
        </w:tc>
        <w:tc>
          <w:tcPr>
            <w:tcW w:type="dxa" w:w="1170"/>
          </w:tcPr>
          <w:p>
            <w:r>
              <w:rPr>
                <w:sz w:val="14"/>
              </w:rPr>
              <w:t>Dominion ESA aggregate (unnamed) 2029-5</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2029</w:t>
            </w:r>
          </w:p>
        </w:tc>
        <w:tc>
          <w:tcPr>
            <w:tcW w:type="dxa" w:w="1170"/>
          </w:tcPr>
          <w:p>
            <w:r>
              <w:rPr>
                <w:sz w:val="14"/>
              </w:rPr>
              <w:t>https://www.investing.com/news/company-news/dominion-q2-2026</w:t>
            </w:r>
          </w:p>
        </w:tc>
      </w:tr>
      <w:tr>
        <w:trPr>
          <w:cantSplit w:val="true"/>
        </w:trPr>
        <w:tc>
          <w:tcPr>
            <w:tcW w:type="dxa" w:w="1170"/>
          </w:tcPr>
          <w:p>
            <w:r>
              <w:rPr>
                <w:sz w:val="14"/>
              </w:rPr>
              <w:t>AGG-ESA-018</w:t>
            </w:r>
          </w:p>
        </w:tc>
        <w:tc>
          <w:tcPr>
            <w:tcW w:type="dxa" w:w="1170"/>
          </w:tcPr>
          <w:p>
            <w:r>
              <w:rPr>
                <w:sz w:val="14"/>
              </w:rPr>
              <w:t>Dominion ESA aggregate (unnamed) 2029-6</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2029</w:t>
            </w:r>
          </w:p>
        </w:tc>
        <w:tc>
          <w:tcPr>
            <w:tcW w:type="dxa" w:w="1170"/>
          </w:tcPr>
          <w:p>
            <w:r>
              <w:rPr>
                <w:sz w:val="14"/>
              </w:rPr>
              <w:t>https://www.investing.com/news/company-news/dominion-q2-2026</w:t>
            </w:r>
          </w:p>
        </w:tc>
      </w:tr>
      <w:tr>
        <w:trPr>
          <w:cantSplit w:val="true"/>
        </w:trPr>
        <w:tc>
          <w:tcPr>
            <w:tcW w:type="dxa" w:w="1170"/>
          </w:tcPr>
          <w:p>
            <w:r>
              <w:rPr>
                <w:sz w:val="14"/>
              </w:rPr>
              <w:t>AGG-ESA-019</w:t>
            </w:r>
          </w:p>
        </w:tc>
        <w:tc>
          <w:tcPr>
            <w:tcW w:type="dxa" w:w="1170"/>
          </w:tcPr>
          <w:p>
            <w:r>
              <w:rPr>
                <w:sz w:val="14"/>
              </w:rPr>
              <w:t>Dominion ESA aggregate (unnamed) 2030-1</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2030</w:t>
            </w:r>
          </w:p>
        </w:tc>
        <w:tc>
          <w:tcPr>
            <w:tcW w:type="dxa" w:w="1170"/>
          </w:tcPr>
          <w:p>
            <w:r>
              <w:rPr>
                <w:sz w:val="14"/>
              </w:rPr>
              <w:t>https://www.investing.com/news/company-news/dominion-q2-2026</w:t>
            </w:r>
          </w:p>
        </w:tc>
      </w:tr>
      <w:tr>
        <w:trPr>
          <w:cantSplit w:val="true"/>
        </w:trPr>
        <w:tc>
          <w:tcPr>
            <w:tcW w:type="dxa" w:w="1170"/>
          </w:tcPr>
          <w:p>
            <w:r>
              <w:rPr>
                <w:sz w:val="14"/>
              </w:rPr>
              <w:t>AGG-ESA-020</w:t>
            </w:r>
          </w:p>
        </w:tc>
        <w:tc>
          <w:tcPr>
            <w:tcW w:type="dxa" w:w="1170"/>
          </w:tcPr>
          <w:p>
            <w:r>
              <w:rPr>
                <w:sz w:val="14"/>
              </w:rPr>
              <w:t>Dominion ESA aggregate (unnamed) 2030-2</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2030</w:t>
            </w:r>
          </w:p>
        </w:tc>
        <w:tc>
          <w:tcPr>
            <w:tcW w:type="dxa" w:w="1170"/>
          </w:tcPr>
          <w:p>
            <w:r>
              <w:rPr>
                <w:sz w:val="14"/>
              </w:rPr>
              <w:t>https://www.investing.com/news/company-news/dominion-q2-2026</w:t>
            </w:r>
          </w:p>
        </w:tc>
      </w:tr>
      <w:tr>
        <w:trPr>
          <w:cantSplit w:val="true"/>
        </w:trPr>
        <w:tc>
          <w:tcPr>
            <w:tcW w:type="dxa" w:w="1170"/>
          </w:tcPr>
          <w:p>
            <w:r>
              <w:rPr>
                <w:sz w:val="14"/>
              </w:rPr>
              <w:t>AGG-ESA-021</w:t>
            </w:r>
          </w:p>
        </w:tc>
        <w:tc>
          <w:tcPr>
            <w:tcW w:type="dxa" w:w="1170"/>
          </w:tcPr>
          <w:p>
            <w:r>
              <w:rPr>
                <w:sz w:val="14"/>
              </w:rPr>
              <w:t>Dominion ESA aggregate (unnamed) 2030-3</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2030</w:t>
            </w:r>
          </w:p>
        </w:tc>
        <w:tc>
          <w:tcPr>
            <w:tcW w:type="dxa" w:w="1170"/>
          </w:tcPr>
          <w:p>
            <w:r>
              <w:rPr>
                <w:sz w:val="14"/>
              </w:rPr>
              <w:t>https://www.investing.com/news/company-news/dominion-q2-2026</w:t>
            </w:r>
          </w:p>
        </w:tc>
      </w:tr>
      <w:tr>
        <w:trPr>
          <w:cantSplit w:val="true"/>
        </w:trPr>
        <w:tc>
          <w:tcPr>
            <w:tcW w:type="dxa" w:w="1170"/>
          </w:tcPr>
          <w:p>
            <w:r>
              <w:rPr>
                <w:sz w:val="14"/>
              </w:rPr>
              <w:t>AGG-ESA-022</w:t>
            </w:r>
          </w:p>
        </w:tc>
        <w:tc>
          <w:tcPr>
            <w:tcW w:type="dxa" w:w="1170"/>
          </w:tcPr>
          <w:p>
            <w:r>
              <w:rPr>
                <w:sz w:val="14"/>
              </w:rPr>
              <w:t>Dominion ESA aggregate (unnamed) 2030-4</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2030</w:t>
            </w:r>
          </w:p>
        </w:tc>
        <w:tc>
          <w:tcPr>
            <w:tcW w:type="dxa" w:w="1170"/>
          </w:tcPr>
          <w:p>
            <w:r>
              <w:rPr>
                <w:sz w:val="14"/>
              </w:rPr>
              <w:t>https://www.investing.com/news/company-news/dominion-q2-2026</w:t>
            </w:r>
          </w:p>
        </w:tc>
      </w:tr>
      <w:tr>
        <w:trPr>
          <w:cantSplit w:val="true"/>
        </w:trPr>
        <w:tc>
          <w:tcPr>
            <w:tcW w:type="dxa" w:w="1170"/>
          </w:tcPr>
          <w:p>
            <w:r>
              <w:rPr>
                <w:sz w:val="14"/>
              </w:rPr>
              <w:t>AGG-ESA-023</w:t>
            </w:r>
          </w:p>
        </w:tc>
        <w:tc>
          <w:tcPr>
            <w:tcW w:type="dxa" w:w="1170"/>
          </w:tcPr>
          <w:p>
            <w:r>
              <w:rPr>
                <w:sz w:val="14"/>
              </w:rPr>
              <w:t>Dominion ESA aggregate (unnamed) 2030-5</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2030</w:t>
            </w:r>
          </w:p>
        </w:tc>
        <w:tc>
          <w:tcPr>
            <w:tcW w:type="dxa" w:w="1170"/>
          </w:tcPr>
          <w:p>
            <w:r>
              <w:rPr>
                <w:sz w:val="14"/>
              </w:rPr>
              <w:t>https://www.investing.com/news/company-news/dominion-q2-2026</w:t>
            </w:r>
          </w:p>
        </w:tc>
      </w:tr>
      <w:tr>
        <w:trPr>
          <w:cantSplit w:val="true"/>
        </w:trPr>
        <w:tc>
          <w:tcPr>
            <w:tcW w:type="dxa" w:w="1170"/>
          </w:tcPr>
          <w:p>
            <w:r>
              <w:rPr>
                <w:sz w:val="14"/>
              </w:rPr>
              <w:t>AGG-ESA-024</w:t>
            </w:r>
          </w:p>
        </w:tc>
        <w:tc>
          <w:tcPr>
            <w:tcW w:type="dxa" w:w="1170"/>
          </w:tcPr>
          <w:p>
            <w:r>
              <w:rPr>
                <w:sz w:val="14"/>
              </w:rPr>
              <w:t>Dominion ESA aggregate (unnamed) 2030-6</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2030</w:t>
            </w:r>
          </w:p>
        </w:tc>
        <w:tc>
          <w:tcPr>
            <w:tcW w:type="dxa" w:w="1170"/>
          </w:tcPr>
          <w:p>
            <w:r>
              <w:rPr>
                <w:sz w:val="14"/>
              </w:rPr>
              <w:t>https://www.investing.com/news/company-news/dominion-q2-2026</w:t>
            </w:r>
          </w:p>
        </w:tc>
      </w:tr>
      <w:tr>
        <w:trPr>
          <w:cantSplit w:val="true"/>
        </w:trPr>
        <w:tc>
          <w:tcPr>
            <w:tcW w:type="dxa" w:w="1170"/>
          </w:tcPr>
          <w:p>
            <w:r>
              <w:rPr>
                <w:sz w:val="14"/>
              </w:rPr>
              <w:t>AGG-ESA-025</w:t>
            </w:r>
          </w:p>
        </w:tc>
        <w:tc>
          <w:tcPr>
            <w:tcW w:type="dxa" w:w="1170"/>
          </w:tcPr>
          <w:p>
            <w:r>
              <w:rPr>
                <w:sz w:val="14"/>
              </w:rPr>
              <w:t>Dominion ESA aggregate (unnamed) 2031-1</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2031</w:t>
            </w:r>
          </w:p>
        </w:tc>
        <w:tc>
          <w:tcPr>
            <w:tcW w:type="dxa" w:w="1170"/>
          </w:tcPr>
          <w:p>
            <w:r>
              <w:rPr>
                <w:sz w:val="14"/>
              </w:rPr>
              <w:t>https://www.investing.com/news/company-news/dominion-q2-2026</w:t>
            </w:r>
          </w:p>
        </w:tc>
      </w:tr>
      <w:tr>
        <w:trPr>
          <w:cantSplit w:val="true"/>
        </w:trPr>
        <w:tc>
          <w:tcPr>
            <w:tcW w:type="dxa" w:w="1170"/>
          </w:tcPr>
          <w:p>
            <w:r>
              <w:rPr>
                <w:sz w:val="14"/>
              </w:rPr>
              <w:t>AGG-ESA-026</w:t>
            </w:r>
          </w:p>
        </w:tc>
        <w:tc>
          <w:tcPr>
            <w:tcW w:type="dxa" w:w="1170"/>
          </w:tcPr>
          <w:p>
            <w:r>
              <w:rPr>
                <w:sz w:val="14"/>
              </w:rPr>
              <w:t>Dominion ESA aggregate (unnamed) 2031-2</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2031</w:t>
            </w:r>
          </w:p>
        </w:tc>
        <w:tc>
          <w:tcPr>
            <w:tcW w:type="dxa" w:w="1170"/>
          </w:tcPr>
          <w:p>
            <w:r>
              <w:rPr>
                <w:sz w:val="14"/>
              </w:rPr>
              <w:t>https://www.investing.com/news/company-news/dominion-q2-2026</w:t>
            </w:r>
          </w:p>
        </w:tc>
      </w:tr>
      <w:tr>
        <w:trPr>
          <w:cantSplit w:val="true"/>
        </w:trPr>
        <w:tc>
          <w:tcPr>
            <w:tcW w:type="dxa" w:w="1170"/>
          </w:tcPr>
          <w:p>
            <w:r>
              <w:rPr>
                <w:sz w:val="14"/>
              </w:rPr>
              <w:t>AGG-ESA-027</w:t>
            </w:r>
          </w:p>
        </w:tc>
        <w:tc>
          <w:tcPr>
            <w:tcW w:type="dxa" w:w="1170"/>
          </w:tcPr>
          <w:p>
            <w:r>
              <w:rPr>
                <w:sz w:val="14"/>
              </w:rPr>
              <w:t>Dominion ESA aggregate (unnamed) 2031-3</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2031</w:t>
            </w:r>
          </w:p>
        </w:tc>
        <w:tc>
          <w:tcPr>
            <w:tcW w:type="dxa" w:w="1170"/>
          </w:tcPr>
          <w:p>
            <w:r>
              <w:rPr>
                <w:sz w:val="14"/>
              </w:rPr>
              <w:t>https://www.investing.com/news/company-news/dominion-q2-2026</w:t>
            </w:r>
          </w:p>
        </w:tc>
      </w:tr>
      <w:tr>
        <w:trPr>
          <w:cantSplit w:val="true"/>
        </w:trPr>
        <w:tc>
          <w:tcPr>
            <w:tcW w:type="dxa" w:w="1170"/>
          </w:tcPr>
          <w:p>
            <w:r>
              <w:rPr>
                <w:sz w:val="14"/>
              </w:rPr>
              <w:t>AGG-ESA-028</w:t>
            </w:r>
          </w:p>
        </w:tc>
        <w:tc>
          <w:tcPr>
            <w:tcW w:type="dxa" w:w="1170"/>
          </w:tcPr>
          <w:p>
            <w:r>
              <w:rPr>
                <w:sz w:val="14"/>
              </w:rPr>
              <w:t>Dominion ESA aggregate (unnamed) 2031-4</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2031</w:t>
            </w:r>
          </w:p>
        </w:tc>
        <w:tc>
          <w:tcPr>
            <w:tcW w:type="dxa" w:w="1170"/>
          </w:tcPr>
          <w:p>
            <w:r>
              <w:rPr>
                <w:sz w:val="14"/>
              </w:rPr>
              <w:t>https://www.investing.com/news/company-news/dominion-q2-2026</w:t>
            </w:r>
          </w:p>
        </w:tc>
      </w:tr>
      <w:tr>
        <w:trPr>
          <w:cantSplit w:val="true"/>
        </w:trPr>
        <w:tc>
          <w:tcPr>
            <w:tcW w:type="dxa" w:w="1170"/>
          </w:tcPr>
          <w:p>
            <w:r>
              <w:rPr>
                <w:sz w:val="14"/>
              </w:rPr>
              <w:t>AGG-ESA-029</w:t>
            </w:r>
          </w:p>
        </w:tc>
        <w:tc>
          <w:tcPr>
            <w:tcW w:type="dxa" w:w="1170"/>
          </w:tcPr>
          <w:p>
            <w:r>
              <w:rPr>
                <w:sz w:val="14"/>
              </w:rPr>
              <w:t>Dominion ESA aggregate (unnamed) 2031-5</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2031</w:t>
            </w:r>
          </w:p>
        </w:tc>
        <w:tc>
          <w:tcPr>
            <w:tcW w:type="dxa" w:w="1170"/>
          </w:tcPr>
          <w:p>
            <w:r>
              <w:rPr>
                <w:sz w:val="14"/>
              </w:rPr>
              <w:t>https://www.investing.com/news/company-news/dominion-q2-2026</w:t>
            </w:r>
          </w:p>
        </w:tc>
      </w:tr>
      <w:tr>
        <w:trPr>
          <w:cantSplit w:val="true"/>
        </w:trPr>
        <w:tc>
          <w:tcPr>
            <w:tcW w:type="dxa" w:w="1170"/>
          </w:tcPr>
          <w:p>
            <w:r>
              <w:rPr>
                <w:sz w:val="14"/>
              </w:rPr>
              <w:t>AGG-ESA-030</w:t>
            </w:r>
          </w:p>
        </w:tc>
        <w:tc>
          <w:tcPr>
            <w:tcW w:type="dxa" w:w="1170"/>
          </w:tcPr>
          <w:p>
            <w:r>
              <w:rPr>
                <w:sz w:val="14"/>
              </w:rPr>
              <w:t>Dominion ESA aggregate (unnamed) 2031-6</w:t>
            </w:r>
          </w:p>
        </w:tc>
        <w:tc>
          <w:tcPr>
            <w:tcW w:type="dxa" w:w="1170"/>
          </w:tcPr>
          <w:p>
            <w:r>
              <w:rPr>
                <w:sz w:val="14"/>
              </w:rPr>
              <w:t>UNKNOWN</w:t>
            </w:r>
          </w:p>
        </w:tc>
        <w:tc>
          <w:tcPr>
            <w:tcW w:type="dxa" w:w="1170"/>
          </w:tcPr>
          <w:p>
            <w:r>
              <w:rPr>
                <w:sz w:val="14"/>
              </w:rPr>
              <w:t>UNKNOWN</w:t>
            </w:r>
          </w:p>
        </w:tc>
        <w:tc>
          <w:tcPr>
            <w:tcW w:type="dxa" w:w="1170"/>
          </w:tcPr>
          <w:p>
            <w:r>
              <w:rPr>
                <w:sz w:val="14"/>
              </w:rPr>
              <w:t>310</w:t>
            </w:r>
          </w:p>
        </w:tc>
        <w:tc>
          <w:tcPr>
            <w:tcW w:type="dxa" w:w="1170"/>
          </w:tcPr>
          <w:p>
            <w:r>
              <w:rPr>
                <w:sz w:val="14"/>
              </w:rPr>
              <w:t>ESA signed</w:t>
            </w:r>
          </w:p>
        </w:tc>
        <w:tc>
          <w:tcPr>
            <w:tcW w:type="dxa" w:w="1170"/>
          </w:tcPr>
          <w:p>
            <w:r>
              <w:rPr>
                <w:sz w:val="14"/>
              </w:rPr>
              <w:t>2031</w:t>
            </w:r>
          </w:p>
        </w:tc>
        <w:tc>
          <w:tcPr>
            <w:tcW w:type="dxa" w:w="1170"/>
          </w:tcPr>
          <w:p>
            <w:r>
              <w:rPr>
                <w:sz w:val="14"/>
              </w:rPr>
              <w:t>https://www.investing.com/news/company-news/dominion-q2-2026</w:t>
            </w:r>
          </w:p>
        </w:tc>
      </w:tr>
    </w:tbl>
    <w:p/>
    <w:p>
      <w:pPr>
        <w:pStyle w:val="Heading1"/>
      </w:pPr>
      <w:r>
        <w:t>Appendix C. Output Files</w:t>
      </w:r>
    </w:p>
    <w:p>
      <w:pPr>
        <w:keepNext/>
      </w:pPr>
      <w:r>
        <w:rPr>
          <w:b w:val="0"/>
          <w:i/>
          <w:sz w:val="18"/>
        </w:rPr>
        <w:t>Table 17. Output files (outputs/tables/ unless noted)</w:t>
      </w:r>
    </w:p>
    <w:tbl>
      <w:tblPr>
        <w:tblStyle w:val="TableGrid"/>
        <w:tblW w:type="auto" w:w="0"/>
        <w:jc w:val="center"/>
        <w:tblLook w:firstColumn="1" w:firstRow="1" w:lastColumn="0" w:lastRow="0" w:noHBand="0" w:noVBand="1" w:val="04A0"/>
      </w:tblPr>
      <w:tblGrid>
        <w:gridCol w:w="4680"/>
        <w:gridCol w:w="4680"/>
      </w:tblGrid>
      <w:tr>
        <w:trPr>
          <w:cantSplit w:val="true"/>
          <w:tblHeader w:val="true"/>
        </w:trPr>
        <w:tc>
          <w:tcPr>
            <w:tcW w:type="dxa" w:w="4680"/>
            <w:shd w:val="clear" w:color="auto" w:fill="DCE6F1"/>
          </w:tcPr>
          <w:p>
            <w:pPr>
              <w:keepNext/>
            </w:pPr>
            <w:r>
              <w:rPr>
                <w:b/>
                <w:sz w:val="16"/>
              </w:rPr>
              <w:t>File</w:t>
            </w:r>
          </w:p>
        </w:tc>
        <w:tc>
          <w:tcPr>
            <w:tcW w:type="dxa" w:w="4680"/>
            <w:shd w:val="clear" w:color="auto" w:fill="DCE6F1"/>
          </w:tcPr>
          <w:p>
            <w:pPr>
              <w:keepNext/>
            </w:pPr>
            <w:r>
              <w:rPr>
                <w:b/>
                <w:sz w:val="16"/>
              </w:rPr>
              <w:t>Contents</w:t>
            </w:r>
          </w:p>
        </w:tc>
      </w:tr>
      <w:tr>
        <w:trPr>
          <w:cantSplit w:val="true"/>
        </w:trPr>
        <w:tc>
          <w:tcPr>
            <w:tcW w:type="dxa" w:w="4680"/>
          </w:tcPr>
          <w:p>
            <w:pPr>
              <w:keepNext/>
            </w:pPr>
            <w:r>
              <w:rPr>
                <w:sz w:val="16"/>
              </w:rPr>
              <w:t>baseline_annual.csv</w:t>
            </w:r>
          </w:p>
        </w:tc>
        <w:tc>
          <w:tcPr>
            <w:tcW w:type="dxa" w:w="4680"/>
          </w:tcPr>
          <w:p>
            <w:pPr>
              <w:keepNext/>
            </w:pPr>
            <w:r>
              <w:rPr>
                <w:sz w:val="16"/>
              </w:rPr>
              <w:t>Organic and counterfactual baseline peak and energy by year</w:t>
            </w:r>
          </w:p>
        </w:tc>
      </w:tr>
      <w:tr>
        <w:trPr>
          <w:cantSplit w:val="true"/>
        </w:trPr>
        <w:tc>
          <w:tcPr>
            <w:tcW w:type="dxa" w:w="4680"/>
          </w:tcPr>
          <w:p>
            <w:pPr>
              <w:keepNext/>
            </w:pPr>
            <w:r>
              <w:rPr>
                <w:sz w:val="16"/>
              </w:rPr>
              <w:t>baseline_validation.csv, baseline_annual_peak_holdout.csv, baseline_residuals_by_month.csv</w:t>
            </w:r>
          </w:p>
        </w:tc>
        <w:tc>
          <w:tcPr>
            <w:tcW w:type="dxa" w:w="4680"/>
          </w:tcPr>
          <w:p>
            <w:pPr>
              <w:keepNext/>
            </w:pPr>
            <w:r>
              <w:rPr>
                <w:sz w:val="16"/>
              </w:rPr>
              <w:t>Model accuracy on holdout years</w:t>
            </w:r>
          </w:p>
        </w:tc>
      </w:tr>
      <w:tr>
        <w:trPr>
          <w:cantSplit w:val="true"/>
        </w:trPr>
        <w:tc>
          <w:tcPr>
            <w:tcW w:type="dxa" w:w="4680"/>
          </w:tcPr>
          <w:p>
            <w:pPr>
              <w:keepNext/>
            </w:pPr>
            <w:r>
              <w:rPr>
                <w:sz w:val="16"/>
              </w:rPr>
              <w:t>pipeline_dedup.csv, pipeline_funnel.csv</w:t>
            </w:r>
          </w:p>
        </w:tc>
        <w:tc>
          <w:tcPr>
            <w:tcW w:type="dxa" w:w="4680"/>
          </w:tcPr>
          <w:p>
            <w:pPr>
              <w:keepNext/>
            </w:pPr>
            <w:r>
              <w:rPr>
                <w:sz w:val="16"/>
              </w:rPr>
              <w:t>De-duplicated project pipeline; projects and MW by stage</w:t>
            </w:r>
          </w:p>
        </w:tc>
      </w:tr>
      <w:tr>
        <w:trPr>
          <w:cantSplit w:val="true"/>
        </w:trPr>
        <w:tc>
          <w:tcPr>
            <w:tcW w:type="dxa" w:w="4680"/>
          </w:tcPr>
          <w:p>
            <w:pPr>
              <w:keepNext/>
            </w:pPr>
            <w:r>
              <w:rPr>
                <w:sz w:val="16"/>
              </w:rPr>
              <w:t>dc_scenarios.csv</w:t>
            </w:r>
          </w:p>
        </w:tc>
        <w:tc>
          <w:tcPr>
            <w:tcW w:type="dxa" w:w="4680"/>
          </w:tcPr>
          <w:p>
            <w:pPr>
              <w:keepNext/>
            </w:pPr>
            <w:r>
              <w:rPr>
                <w:sz w:val="16"/>
              </w:rPr>
              <w:t>Deterministic Low/Base/High incremental data center load</w:t>
            </w:r>
          </w:p>
        </w:tc>
      </w:tr>
      <w:tr>
        <w:trPr>
          <w:cantSplit w:val="true"/>
        </w:trPr>
        <w:tc>
          <w:tcPr>
            <w:tcW w:type="dxa" w:w="4680"/>
          </w:tcPr>
          <w:p>
            <w:pPr>
              <w:keepNext/>
            </w:pPr>
            <w:r>
              <w:rPr>
                <w:sz w:val="16"/>
              </w:rPr>
              <w:t>dc_fan.csv, dc_fan_independent.csv</w:t>
            </w:r>
          </w:p>
        </w:tc>
        <w:tc>
          <w:tcPr>
            <w:tcW w:type="dxa" w:w="4680"/>
          </w:tcPr>
          <w:p>
            <w:pPr>
              <w:keepNext/>
            </w:pPr>
            <w:r>
              <w:rPr>
                <w:sz w:val="16"/>
              </w:rPr>
              <w:t>Monte Carlo percentiles with and without shared shocks</w:t>
            </w:r>
          </w:p>
        </w:tc>
      </w:tr>
      <w:tr>
        <w:trPr>
          <w:cantSplit w:val="true"/>
        </w:trPr>
        <w:tc>
          <w:tcPr>
            <w:tcW w:type="dxa" w:w="4680"/>
          </w:tcPr>
          <w:p>
            <w:pPr>
              <w:keepNext/>
            </w:pPr>
            <w:r>
              <w:rPr>
                <w:sz w:val="16"/>
              </w:rPr>
              <w:t>total_load_scenarios.csv</w:t>
            </w:r>
          </w:p>
        </w:tc>
        <w:tc>
          <w:tcPr>
            <w:tcW w:type="dxa" w:w="4680"/>
          </w:tcPr>
          <w:p>
            <w:pPr>
              <w:keepNext/>
            </w:pPr>
            <w:r>
              <w:rPr>
                <w:sz w:val="16"/>
              </w:rPr>
              <w:t>Baseline + data center = total system load by scenario</w:t>
            </w:r>
          </w:p>
        </w:tc>
      </w:tr>
      <w:tr>
        <w:trPr>
          <w:cantSplit w:val="true"/>
        </w:trPr>
        <w:tc>
          <w:tcPr>
            <w:tcW w:type="dxa" w:w="4680"/>
          </w:tcPr>
          <w:p>
            <w:pPr>
              <w:keepNext/>
            </w:pPr>
            <w:r>
              <w:rPr>
                <w:sz w:val="16"/>
              </w:rPr>
              <w:t>model_results.csv, headline_table.csv</w:t>
            </w:r>
          </w:p>
        </w:tc>
        <w:tc>
          <w:tcPr>
            <w:tcW w:type="dxa" w:w="4680"/>
          </w:tcPr>
          <w:p>
            <w:pPr>
              <w:keepNext/>
            </w:pPr>
            <w:r>
              <w:rPr>
                <w:sz w:val="16"/>
              </w:rPr>
              <w:t>Full capital → rate base → rates → earnings chain; key results</w:t>
            </w:r>
          </w:p>
        </w:tc>
      </w:tr>
      <w:tr>
        <w:trPr>
          <w:cantSplit w:val="true"/>
        </w:trPr>
        <w:tc>
          <w:tcPr>
            <w:tcW w:type="dxa" w:w="4680"/>
          </w:tcPr>
          <w:p>
            <w:pPr>
              <w:keepNext/>
            </w:pPr>
            <w:r>
              <w:rPr>
                <w:sz w:val="16"/>
              </w:rPr>
              <w:t>sensitivity_tornado.csv</w:t>
            </w:r>
          </w:p>
        </w:tc>
        <w:tc>
          <w:tcPr>
            <w:tcW w:type="dxa" w:w="4680"/>
          </w:tcPr>
          <w:p>
            <w:pPr>
              <w:keepNext/>
            </w:pPr>
            <w:r>
              <w:rPr>
                <w:sz w:val="16"/>
              </w:rPr>
              <w:t>One-at-a-time sensitivities</w:t>
            </w:r>
          </w:p>
        </w:tc>
      </w:tr>
      <w:tr>
        <w:trPr>
          <w:cantSplit w:val="true"/>
        </w:trPr>
        <w:tc>
          <w:tcPr>
            <w:tcW w:type="dxa" w:w="4680"/>
          </w:tcPr>
          <w:p>
            <w:pPr>
              <w:keepNext/>
            </w:pPr>
            <w:r>
              <w:rPr>
                <w:sz w:val="16"/>
              </w:rPr>
              <w:t>benchmark.csv</w:t>
            </w:r>
          </w:p>
        </w:tc>
        <w:tc>
          <w:tcPr>
            <w:tcW w:type="dxa" w:w="4680"/>
          </w:tcPr>
          <w:p>
            <w:pPr>
              <w:keepNext/>
            </w:pPr>
            <w:r>
              <w:rPr>
                <w:sz w:val="16"/>
              </w:rPr>
              <w:t>Comparison with official forecasts</w:t>
            </w:r>
          </w:p>
        </w:tc>
      </w:tr>
      <w:tr>
        <w:trPr>
          <w:cantSplit w:val="true"/>
        </w:trPr>
        <w:tc>
          <w:tcPr>
            <w:tcW w:type="dxa" w:w="4680"/>
          </w:tcPr>
          <w:p>
            <w:r>
              <w:rPr>
                <w:sz w:val="16"/>
              </w:rPr>
              <w:t>model/capital_rate_model.xlsx</w:t>
            </w:r>
          </w:p>
        </w:tc>
        <w:tc>
          <w:tcPr>
            <w:tcW w:type="dxa" w:w="4680"/>
          </w:tcPr>
          <w:p>
            <w:r>
              <w:rPr>
                <w:sz w:val="16"/>
              </w:rPr>
              <w:t>All of the above in one workbook</w:t>
            </w:r>
          </w:p>
        </w:tc>
      </w:tr>
    </w:tbl>
    <w:p/>
    <w:p>
      <w:r>
        <w:br w:type="page"/>
      </w:r>
    </w:p>
    <w:p>
      <w:pPr>
        <w:pStyle w:val="Heading1"/>
        <w:jc w:val="center"/>
      </w:pPr>
      <w:r>
        <w:t>Works Cited</w:t>
      </w:r>
    </w:p>
    <w:p>
      <w:pPr>
        <w:spacing w:line="480" w:lineRule="auto"/>
        <w:ind w:left="720" w:hanging="720"/>
      </w:pPr>
      <w:r>
        <w:rPr>
          <w:b w:val="0"/>
          <w:i w:val="0"/>
        </w:rPr>
        <w:t xml:space="preserve">DiGangi, Diana. "Dominion Ordered to Directly Assign Some Transmission Costs to Data Centers." </w:t>
      </w:r>
      <w:r>
        <w:rPr>
          <w:b w:val="0"/>
          <w:i/>
        </w:rPr>
        <w:t>Utility Dive</w:t>
      </w:r>
      <w:r>
        <w:rPr>
          <w:b w:val="0"/>
          <w:i w:val="0"/>
        </w:rPr>
        <w:t>, 12 Aug. 2026, www.utilitydive.com/news/dominion-energy-scc-transmission-costs-data-center/827693/. Accessed 4 Oct. 2026.</w:t>
      </w:r>
    </w:p>
    <w:p>
      <w:pPr>
        <w:spacing w:line="480" w:lineRule="auto"/>
        <w:ind w:left="720" w:hanging="720"/>
      </w:pPr>
      <w:r>
        <w:rPr>
          <w:b w:val="0"/>
          <w:i w:val="0"/>
        </w:rPr>
        <w:t xml:space="preserve">---. "Dominion Unveils Plans to Add 21 GW of Clean Energy, 5.9 GW of Gas Generation by 2039." </w:t>
      </w:r>
      <w:r>
        <w:rPr>
          <w:b w:val="0"/>
          <w:i/>
        </w:rPr>
        <w:t>Utility Dive</w:t>
      </w:r>
      <w:r>
        <w:rPr>
          <w:b w:val="0"/>
          <w:i w:val="0"/>
        </w:rPr>
        <w:t>, 16 Oct. 2024, www.utilitydive.com/news/dominion-integrated-resource-plan-irp-renewables-natural-gas/729989/. Accessed 4 Oct. 2026.</w:t>
      </w:r>
    </w:p>
    <w:p>
      <w:pPr>
        <w:spacing w:line="480" w:lineRule="auto"/>
        <w:ind w:left="720" w:hanging="720"/>
      </w:pPr>
      <w:r>
        <w:rPr>
          <w:b w:val="0"/>
          <w:i w:val="0"/>
        </w:rPr>
        <w:t xml:space="preserve">"Dominion Q2 2026 Slides: Data Centers Surge, Offshore Wind 81% Done." </w:t>
      </w:r>
      <w:r>
        <w:rPr>
          <w:b w:val="0"/>
          <w:i/>
        </w:rPr>
        <w:t>Investing.com</w:t>
      </w:r>
      <w:r>
        <w:rPr>
          <w:b w:val="0"/>
          <w:i w:val="0"/>
        </w:rPr>
        <w:t>, 31 July 2026, www.investing.com/news/company-news/dominion-q2-2026-slides-data-centers-surge-offshore-wind-81-done-93CH-4828982. Accessed 4 Oct. 2026.</w:t>
      </w:r>
    </w:p>
    <w:p>
      <w:pPr>
        <w:spacing w:line="480" w:lineRule="auto"/>
        <w:ind w:left="720" w:hanging="720"/>
      </w:pPr>
      <w:r>
        <w:rPr>
          <w:b w:val="0"/>
          <w:i w:val="0"/>
        </w:rPr>
        <w:t xml:space="preserve">GridLab. </w:t>
      </w:r>
      <w:r>
        <w:rPr>
          <w:b w:val="0"/>
          <w:i/>
        </w:rPr>
        <w:t>The New Reality of Power Generation: An Analysis of Increasing Gas Turbine Costs</w:t>
      </w:r>
      <w:r>
        <w:rPr>
          <w:b w:val="0"/>
          <w:i w:val="0"/>
        </w:rPr>
        <w:t>. GridLab, Sept. 2025, gridlab.org/wp-content/uploads/2025/09/GridLab_Gas-Turbine-Costs-Report-1.pdf. Accessed 4 Oct. 2026.</w:t>
      </w:r>
    </w:p>
    <w:p>
      <w:pPr>
        <w:spacing w:line="480" w:lineRule="auto"/>
        <w:ind w:left="720" w:hanging="720"/>
      </w:pPr>
      <w:r>
        <w:rPr>
          <w:b w:val="0"/>
          <w:i w:val="0"/>
        </w:rPr>
        <w:t xml:space="preserve">Joint Legislative Audit and Review Commission. </w:t>
      </w:r>
      <w:r>
        <w:rPr>
          <w:b w:val="0"/>
          <w:i/>
        </w:rPr>
        <w:t>Data Centers in Virginia</w:t>
      </w:r>
      <w:r>
        <w:rPr>
          <w:b w:val="0"/>
          <w:i w:val="0"/>
        </w:rPr>
        <w:t>. Report no. 598, Commonwealth of Virginia, Dec. 2024, jlarc.virginia.gov/landing-2024-data-centers-in-virginia.asp. Accessed 4 Oct. 2026.</w:t>
      </w:r>
    </w:p>
    <w:p>
      <w:pPr>
        <w:spacing w:line="480" w:lineRule="auto"/>
        <w:ind w:left="720" w:hanging="720"/>
      </w:pPr>
      <w:r>
        <w:rPr>
          <w:b w:val="0"/>
          <w:i w:val="0"/>
        </w:rPr>
        <w:t xml:space="preserve">Martucci, Brian. "A Fraction of Proposed Data Centers Will Get Built. Utilities Are Wising Up." </w:t>
      </w:r>
      <w:r>
        <w:rPr>
          <w:b w:val="0"/>
          <w:i/>
        </w:rPr>
        <w:t>Utility Dive</w:t>
      </w:r>
      <w:r>
        <w:rPr>
          <w:b w:val="0"/>
          <w:i w:val="0"/>
        </w:rPr>
        <w:t>, 15 May 2025, www.utilitydive.com/news/a-fraction-of-proposed-data-centers-will-get-built-utilities-are-wising-up/748214/. Accessed 4 Oct. 2026.</w:t>
      </w:r>
    </w:p>
    <w:p>
      <w:pPr>
        <w:spacing w:line="480" w:lineRule="auto"/>
        <w:ind w:left="720" w:hanging="720"/>
      </w:pPr>
      <w:r>
        <w:rPr>
          <w:b w:val="0"/>
          <w:i w:val="0"/>
        </w:rPr>
        <w:t xml:space="preserve">Monitoring Analytics. </w:t>
      </w:r>
      <w:r>
        <w:rPr>
          <w:b w:val="0"/>
          <w:i/>
        </w:rPr>
        <w:t>2025 Annual State of the Market Report for PJM</w:t>
      </w:r>
      <w:r>
        <w:rPr>
          <w:b w:val="0"/>
          <w:i w:val="0"/>
        </w:rPr>
        <w:t>. Monitoring Analytics, LLC, 24 Apr. 2026, www.pjm.com/-/media/DotCom/committees-groups/committees/mc/2026/20260424-special/2025-annual-state-of-the-market-report-for-pjm.pdf. Accessed 4 Oct. 2026.</w:t>
      </w:r>
    </w:p>
    <w:p>
      <w:pPr>
        <w:spacing w:line="480" w:lineRule="auto"/>
        <w:ind w:left="720" w:hanging="720"/>
      </w:pPr>
      <w:r>
        <w:rPr>
          <w:b w:val="0"/>
          <w:i w:val="0"/>
        </w:rPr>
        <w:t xml:space="preserve">Pampaloni, Hanna. "SCC Approves New Data Center Rate Class for Dominion." </w:t>
      </w:r>
      <w:r>
        <w:rPr>
          <w:b w:val="0"/>
          <w:i/>
        </w:rPr>
        <w:t>Loudoun Now</w:t>
      </w:r>
      <w:r>
        <w:rPr>
          <w:b w:val="0"/>
          <w:i w:val="0"/>
        </w:rPr>
        <w:t>, 25 Nov. 2025, www.loudounnow.com/news/scc-approves-new-data-center-rate-class-for-dominion/article_02d5fa0c-1ed8-4771-b57d-c24765739854.html. Accessed 4 Oct. 2026.</w:t>
      </w:r>
    </w:p>
    <w:p>
      <w:pPr>
        <w:spacing w:line="480" w:lineRule="auto"/>
        <w:ind w:left="720" w:hanging="720"/>
      </w:pPr>
      <w:r>
        <w:rPr>
          <w:b w:val="0"/>
          <w:i w:val="0"/>
        </w:rPr>
        <w:t xml:space="preserve">PJM Interconnection. "2027/2028 BRA FPR and IRM." </w:t>
      </w:r>
      <w:r>
        <w:rPr>
          <w:b w:val="0"/>
          <w:i/>
        </w:rPr>
        <w:t>PJM Members Committee</w:t>
      </w:r>
      <w:r>
        <w:rPr>
          <w:b w:val="0"/>
          <w:i w:val="0"/>
        </w:rPr>
        <w:t>, 23 July 2025, www.pjm.com/-/media/DotCom/committees-groups/committees/mc/2025/20250723/20250723-item-02---2027-2028-bra-fpr-and-irm---presentation.pdf. Accessed 4 Oct. 2026.</w:t>
      </w:r>
    </w:p>
    <w:p>
      <w:pPr>
        <w:spacing w:line="480" w:lineRule="auto"/>
        <w:ind w:left="720" w:hanging="720"/>
      </w:pPr>
      <w:r>
        <w:rPr>
          <w:b w:val="0"/>
          <w:i w:val="0"/>
        </w:rPr>
        <w:t xml:space="preserve">---. </w:t>
      </w:r>
      <w:r>
        <w:rPr>
          <w:b w:val="0"/>
          <w:i/>
        </w:rPr>
        <w:t>ELCC Class Ratings for the 2027/2028 Base Residual Auction</w:t>
      </w:r>
      <w:r>
        <w:rPr>
          <w:b w:val="0"/>
          <w:i w:val="0"/>
        </w:rPr>
        <w:t>. PJM Interconnection, www.pjm.com/-/media/DotCom/planning/res-adeq/elcc/2027-28-bra-elcc-class-ratings.pdf. Accessed 4 Oct. 2026.</w:t>
      </w:r>
    </w:p>
    <w:p>
      <w:pPr>
        <w:spacing w:line="480" w:lineRule="auto"/>
        <w:ind w:left="720" w:hanging="720"/>
      </w:pPr>
      <w:r>
        <w:rPr>
          <w:b w:val="0"/>
          <w:i w:val="0"/>
        </w:rPr>
        <w:t xml:space="preserve">Rand, Joseph, et al. </w:t>
      </w:r>
      <w:r>
        <w:rPr>
          <w:b w:val="0"/>
          <w:i/>
        </w:rPr>
        <w:t>Queued Up: 2026 Edition, Characteristics of Power Plants Seeking Transmission Interconnection as of the End of 2025</w:t>
      </w:r>
      <w:r>
        <w:rPr>
          <w:b w:val="0"/>
          <w:i w:val="0"/>
        </w:rPr>
        <w:t>. Lawrence Berkeley National Laboratory, May 2026, eta-publications.lbl.gov/publications/us-interconnection-queue-data-0. Accessed 4 Oct. 2026.</w:t>
      </w:r>
    </w:p>
    <w:p>
      <w:pPr>
        <w:spacing w:line="480" w:lineRule="auto"/>
        <w:ind w:left="720" w:hanging="720"/>
      </w:pPr>
      <w:r>
        <w:rPr>
          <w:b w:val="0"/>
          <w:i w:val="0"/>
        </w:rPr>
        <w:t xml:space="preserve">Shehabi, Arman, et al. </w:t>
      </w:r>
      <w:r>
        <w:rPr>
          <w:b w:val="0"/>
          <w:i/>
        </w:rPr>
        <w:t>2024 United States Data Center Energy Usage Report</w:t>
      </w:r>
      <w:r>
        <w:rPr>
          <w:b w:val="0"/>
          <w:i w:val="0"/>
        </w:rPr>
        <w:t>. Lawrence Berkeley National Laboratory, Dec. 2024, eta-publications.lbl.gov/publications/2024-lbnl-data-center-energy-usage-report. Accessed 4 Oct. 2026.</w:t>
      </w:r>
    </w:p>
    <w:p>
      <w:pPr>
        <w:spacing w:line="480" w:lineRule="auto"/>
        <w:ind w:left="720" w:hanging="720"/>
      </w:pPr>
      <w:r>
        <w:rPr>
          <w:b w:val="0"/>
          <w:i w:val="0"/>
        </w:rPr>
        <w:t xml:space="preserve">U.S. Energy Information Administration. </w:t>
      </w:r>
      <w:r>
        <w:rPr>
          <w:b w:val="0"/>
          <w:i/>
        </w:rPr>
        <w:t>Assumptions to the Annual Energy Outlook 2025: Electricity Market Module</w:t>
      </w:r>
      <w:r>
        <w:rPr>
          <w:b w:val="0"/>
          <w:i w:val="0"/>
        </w:rPr>
        <w:t>. U.S. Department of Energy, Apr. 2025, www.eia.gov/outlooks/aeo/assumptions/. Accessed 4 Oct. 2026.</w:t>
      </w:r>
    </w:p>
    <w:p>
      <w:pPr>
        <w:spacing w:line="480" w:lineRule="auto"/>
        <w:ind w:left="720" w:hanging="720"/>
      </w:pPr>
      <w:r>
        <w:rPr>
          <w:b w:val="0"/>
          <w:i w:val="0"/>
        </w:rPr>
        <w:t xml:space="preserve">---. "Hourly Electric Grid Monitor (Form EIA-930)." </w:t>
      </w:r>
      <w:r>
        <w:rPr>
          <w:b w:val="0"/>
          <w:i/>
        </w:rPr>
        <w:t>U.S. Energy Information Administration</w:t>
      </w:r>
      <w:r>
        <w:rPr>
          <w:b w:val="0"/>
          <w:i w:val="0"/>
        </w:rPr>
        <w:t>, www.eia.gov/electricity/gridmonitor/. Accessed 4 Oct. 2026.</w:t>
      </w:r>
    </w:p>
    <w:p>
      <w:pPr>
        <w:spacing w:line="480" w:lineRule="auto"/>
        <w:ind w:left="720" w:hanging="720"/>
      </w:pPr>
      <w:r>
        <w:rPr>
          <w:b w:val="0"/>
          <w:i w:val="0"/>
        </w:rPr>
        <w:t xml:space="preserve">---. "Virginia Electricity Profile 2024." </w:t>
      </w:r>
      <w:r>
        <w:rPr>
          <w:b w:val="0"/>
          <w:i/>
        </w:rPr>
        <w:t>U.S. Energy Information Administration</w:t>
      </w:r>
      <w:r>
        <w:rPr>
          <w:b w:val="0"/>
          <w:i w:val="0"/>
        </w:rPr>
        <w:t>, 10 Nov. 2025, www.eia.gov/electricity/state/virginia/. Accessed 4 Oct. 2026.</w:t>
      </w:r>
    </w:p>
    <w:p>
      <w:pPr>
        <w:spacing w:line="480" w:lineRule="auto"/>
        <w:ind w:left="720" w:hanging="720"/>
      </w:pPr>
      <w:r>
        <w:rPr>
          <w:b w:val="0"/>
          <w:i w:val="0"/>
        </w:rPr>
        <w:t xml:space="preserve">Virginia State Corporation Commission. </w:t>
      </w:r>
      <w:r>
        <w:rPr>
          <w:b w:val="0"/>
          <w:i/>
        </w:rPr>
        <w:t>Final Order, Case No. PUR-2025-00058</w:t>
      </w:r>
      <w:r>
        <w:rPr>
          <w:b w:val="0"/>
          <w:i w:val="0"/>
        </w:rPr>
        <w:t>. Commonwealth of Virginia, 25 Nov. 2025, npr.brightspotcdn.com/b6/ac/706130b64d2b8eee6a9832b97e48/20251125-virginiascc-dominionenergyruling.pdf. Accessed 4 Oct. 2026.</w:t>
      </w:r>
    </w:p>
    <w:p>
      <w:pPr>
        <w:spacing w:line="480" w:lineRule="auto"/>
        <w:ind w:left="720" w:hanging="720"/>
      </w:pPr>
      <w:r>
        <w:rPr>
          <w:b w:val="0"/>
          <w:i w:val="0"/>
        </w:rPr>
        <w:t xml:space="preserve">Zhang, Fengxiu, and Saba Siddiki. "What Virginia's Data-Center Backlash Shows about How Americans Feel Right Now — and It's Not Just Anger." </w:t>
      </w:r>
      <w:r>
        <w:rPr>
          <w:b w:val="0"/>
          <w:i/>
        </w:rPr>
        <w:t>Fortune</w:t>
      </w:r>
      <w:r>
        <w:rPr>
          <w:b w:val="0"/>
          <w:i w:val="0"/>
        </w:rPr>
        <w:t xml:space="preserve">, 28 Sept. 2026, fortune.com/2026/09/28/virginia-data-center-backlash/. Originally published in </w:t>
      </w:r>
      <w:r>
        <w:rPr>
          <w:b w:val="0"/>
          <w:i/>
        </w:rPr>
        <w:t>The Conversation</w:t>
      </w:r>
      <w:r>
        <w:rPr>
          <w:b w:val="0"/>
          <w:i w:val="0"/>
        </w:rPr>
        <w:t>. Accessed 4 Oct. 2026.</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3A5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